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Default="0052198A" w:rsidP="0080263F">
      <w:pPr>
        <w:widowControl/>
        <w:jc w:val="left"/>
        <w:rPr>
          <w:rFonts w:asciiTheme="minorEastAsia" w:hAnsiTheme="minorEastAsia"/>
          <w:sz w:val="24"/>
          <w:szCs w:val="24"/>
        </w:rPr>
      </w:pPr>
      <w:bookmarkStart w:id="0" w:name="_GoBack"/>
      <w:bookmarkEnd w:id="0"/>
      <w:r>
        <w:rPr>
          <w:rFonts w:asciiTheme="minorEastAsia" w:hAnsiTheme="minorEastAsia" w:hint="eastAsia"/>
          <w:sz w:val="24"/>
          <w:szCs w:val="24"/>
        </w:rPr>
        <w:t>別紙１－３　　　　　　　　　　　　　　　　　　　　　　　　　　　　　　　　　（記載例）</w:t>
      </w:r>
    </w:p>
    <w:p w:rsidR="0052198A" w:rsidRDefault="0052198A" w:rsidP="0052198A">
      <w:pPr>
        <w:widowControl/>
        <w:jc w:val="center"/>
        <w:rPr>
          <w:rFonts w:asciiTheme="minorEastAsia" w:hAnsiTheme="minorEastAsia"/>
          <w:sz w:val="24"/>
          <w:szCs w:val="24"/>
        </w:rPr>
      </w:pPr>
      <w:r>
        <w:rPr>
          <w:rFonts w:asciiTheme="minorEastAsia" w:hAnsiTheme="minorEastAsia" w:hint="eastAsia"/>
          <w:sz w:val="24"/>
          <w:szCs w:val="24"/>
        </w:rPr>
        <w:t>売上高等の根拠資料</w:t>
      </w:r>
    </w:p>
    <w:p w:rsidR="0052198A" w:rsidRDefault="0052198A" w:rsidP="0052198A">
      <w:pPr>
        <w:widowControl/>
        <w:rPr>
          <w:rFonts w:asciiTheme="minorEastAsia" w:hAnsiTheme="minorEastAsia"/>
          <w:sz w:val="24"/>
          <w:szCs w:val="24"/>
        </w:rPr>
      </w:pPr>
    </w:p>
    <w:p w:rsidR="0052198A" w:rsidRPr="0052198A" w:rsidRDefault="0052198A" w:rsidP="0052198A">
      <w:pPr>
        <w:widowControl/>
        <w:rPr>
          <w:rFonts w:asciiTheme="minorEastAsia" w:hAnsiTheme="minorEastAsia"/>
          <w:sz w:val="24"/>
          <w:szCs w:val="24"/>
          <w:u w:val="single"/>
        </w:rPr>
      </w:pPr>
      <w:r w:rsidRPr="0052198A">
        <w:rPr>
          <w:rFonts w:asciiTheme="minorEastAsia" w:hAnsiTheme="minorEastAsia" w:hint="eastAsia"/>
          <w:sz w:val="24"/>
          <w:szCs w:val="24"/>
          <w:u w:val="single"/>
        </w:rPr>
        <w:t>１．令和４年度（2022 年度）の売上高等（実績）</w:t>
      </w:r>
    </w:p>
    <w:p w:rsidR="0052198A" w:rsidRDefault="0052198A" w:rsidP="0052198A">
      <w:pPr>
        <w:widowControl/>
        <w:ind w:firstLineChars="100" w:firstLine="240"/>
        <w:rPr>
          <w:rFonts w:asciiTheme="minorEastAsia" w:hAnsiTheme="minorEastAsia"/>
          <w:sz w:val="24"/>
          <w:szCs w:val="24"/>
        </w:rPr>
      </w:pPr>
      <w:r w:rsidRPr="0052198A">
        <w:rPr>
          <w:rFonts w:asciiTheme="minorEastAsia" w:hAnsiTheme="minorEastAsia" w:hint="eastAsia"/>
          <w:sz w:val="24"/>
          <w:szCs w:val="24"/>
        </w:rPr>
        <w:t>令和４年度（2022 年度）の金型部品Ｍ（弊社第三工場・第四工場）の売上高等（実績）は以下のとおりとなっている。</w:t>
      </w:r>
    </w:p>
    <w:p w:rsidR="0052198A" w:rsidRPr="0052198A" w:rsidRDefault="0052198A" w:rsidP="0052198A">
      <w:pPr>
        <w:widowControl/>
        <w:ind w:firstLineChars="100" w:firstLine="240"/>
        <w:rPr>
          <w:rFonts w:asciiTheme="minorEastAsia" w:hAnsiTheme="minorEastAsia"/>
          <w:sz w:val="24"/>
          <w:szCs w:val="24"/>
        </w:rPr>
      </w:pPr>
    </w:p>
    <w:p w:rsidR="0052198A" w:rsidRPr="0052198A" w:rsidRDefault="0052198A" w:rsidP="0052198A">
      <w:pPr>
        <w:widowControl/>
        <w:ind w:firstLineChars="200" w:firstLine="480"/>
        <w:rPr>
          <w:rFonts w:asciiTheme="minorEastAsia" w:hAnsiTheme="minorEastAsia"/>
          <w:sz w:val="24"/>
          <w:szCs w:val="24"/>
        </w:rPr>
      </w:pPr>
      <w:r w:rsidRPr="0052198A">
        <w:rPr>
          <w:rFonts w:asciiTheme="minorEastAsia" w:hAnsiTheme="minorEastAsia" w:hint="eastAsia"/>
          <w:sz w:val="24"/>
          <w:szCs w:val="24"/>
        </w:rPr>
        <w:t>売上高 500,000 千円</w:t>
      </w:r>
    </w:p>
    <w:p w:rsidR="0052198A" w:rsidRPr="0052198A" w:rsidRDefault="0052198A" w:rsidP="0052198A">
      <w:pPr>
        <w:widowControl/>
        <w:ind w:firstLineChars="200" w:firstLine="480"/>
        <w:rPr>
          <w:rFonts w:asciiTheme="minorEastAsia" w:hAnsiTheme="minorEastAsia"/>
          <w:sz w:val="24"/>
          <w:szCs w:val="24"/>
        </w:rPr>
      </w:pPr>
      <w:r w:rsidRPr="0052198A">
        <w:rPr>
          <w:rFonts w:asciiTheme="minorEastAsia" w:hAnsiTheme="minorEastAsia" w:hint="eastAsia"/>
          <w:sz w:val="24"/>
          <w:szCs w:val="24"/>
        </w:rPr>
        <w:t>売上原価 340,000 千円（うち減価償却費 120,000 千円）</w:t>
      </w:r>
    </w:p>
    <w:p w:rsidR="0052198A" w:rsidRPr="0052198A" w:rsidRDefault="0052198A" w:rsidP="0052198A">
      <w:pPr>
        <w:widowControl/>
        <w:ind w:firstLineChars="200" w:firstLine="480"/>
        <w:rPr>
          <w:rFonts w:asciiTheme="minorEastAsia" w:hAnsiTheme="minorEastAsia"/>
          <w:sz w:val="24"/>
          <w:szCs w:val="24"/>
        </w:rPr>
      </w:pPr>
      <w:r w:rsidRPr="0052198A">
        <w:rPr>
          <w:rFonts w:asciiTheme="minorEastAsia" w:hAnsiTheme="minorEastAsia" w:hint="eastAsia"/>
          <w:sz w:val="24"/>
          <w:szCs w:val="24"/>
        </w:rPr>
        <w:t>販売費及び一般管理費 50,000 千円（うち減価償却費 7,000 千円）</w:t>
      </w:r>
    </w:p>
    <w:p w:rsidR="0052198A" w:rsidRPr="0052198A" w:rsidRDefault="0052198A" w:rsidP="0052198A">
      <w:pPr>
        <w:widowControl/>
        <w:ind w:firstLineChars="200" w:firstLine="480"/>
        <w:rPr>
          <w:rFonts w:asciiTheme="minorEastAsia" w:hAnsiTheme="minorEastAsia"/>
          <w:sz w:val="24"/>
          <w:szCs w:val="24"/>
        </w:rPr>
      </w:pPr>
      <w:r w:rsidRPr="0052198A">
        <w:rPr>
          <w:rFonts w:asciiTheme="minorEastAsia" w:hAnsiTheme="minorEastAsia" w:hint="eastAsia"/>
          <w:sz w:val="24"/>
          <w:szCs w:val="24"/>
        </w:rPr>
        <w:t>給与総額 140,000 千円</w:t>
      </w:r>
    </w:p>
    <w:p w:rsidR="0052198A" w:rsidRPr="0052198A" w:rsidRDefault="0052198A" w:rsidP="0052198A">
      <w:pPr>
        <w:widowControl/>
        <w:ind w:firstLineChars="200" w:firstLine="480"/>
        <w:rPr>
          <w:rFonts w:asciiTheme="minorEastAsia" w:hAnsiTheme="minorEastAsia"/>
          <w:sz w:val="24"/>
          <w:szCs w:val="24"/>
        </w:rPr>
      </w:pPr>
      <w:r w:rsidRPr="0052198A">
        <w:rPr>
          <w:rFonts w:asciiTheme="minorEastAsia" w:hAnsiTheme="minorEastAsia" w:hint="eastAsia"/>
          <w:sz w:val="24"/>
          <w:szCs w:val="24"/>
        </w:rPr>
        <w:t>租税公課 20,000 千円</w:t>
      </w:r>
    </w:p>
    <w:p w:rsidR="0052198A" w:rsidRDefault="0052198A" w:rsidP="0052198A">
      <w:pPr>
        <w:widowControl/>
        <w:ind w:firstLineChars="200" w:firstLine="480"/>
        <w:rPr>
          <w:rFonts w:asciiTheme="minorEastAsia" w:hAnsiTheme="minorEastAsia"/>
          <w:sz w:val="24"/>
          <w:szCs w:val="24"/>
        </w:rPr>
      </w:pPr>
      <w:r w:rsidRPr="0052198A">
        <w:rPr>
          <w:rFonts w:asciiTheme="minorEastAsia" w:hAnsiTheme="minorEastAsia" w:hint="eastAsia"/>
          <w:sz w:val="24"/>
          <w:szCs w:val="24"/>
        </w:rPr>
        <w:t>労働者数 32 人</w:t>
      </w:r>
    </w:p>
    <w:p w:rsidR="0052198A" w:rsidRPr="0052198A" w:rsidRDefault="0052198A" w:rsidP="0052198A">
      <w:pPr>
        <w:widowControl/>
        <w:ind w:firstLineChars="200" w:firstLine="480"/>
        <w:rPr>
          <w:rFonts w:asciiTheme="minorEastAsia" w:hAnsiTheme="minorEastAsia"/>
          <w:sz w:val="24"/>
          <w:szCs w:val="24"/>
        </w:rPr>
      </w:pPr>
    </w:p>
    <w:p w:rsidR="0052198A" w:rsidRPr="0052198A" w:rsidRDefault="0052198A" w:rsidP="0052198A">
      <w:pPr>
        <w:widowControl/>
        <w:rPr>
          <w:rFonts w:asciiTheme="minorEastAsia" w:hAnsiTheme="minorEastAsia"/>
          <w:sz w:val="24"/>
          <w:szCs w:val="24"/>
          <w:u w:val="single"/>
        </w:rPr>
      </w:pPr>
      <w:r w:rsidRPr="0052198A">
        <w:rPr>
          <w:rFonts w:asciiTheme="minorEastAsia" w:hAnsiTheme="minorEastAsia" w:hint="eastAsia"/>
          <w:sz w:val="24"/>
          <w:szCs w:val="24"/>
          <w:u w:val="single"/>
        </w:rPr>
        <w:t>２．令和５年度（2023 年度）の売上高等（推計）</w:t>
      </w:r>
    </w:p>
    <w:p w:rsidR="0052198A" w:rsidRDefault="0052198A" w:rsidP="0052198A">
      <w:pPr>
        <w:widowControl/>
        <w:ind w:firstLineChars="100" w:firstLine="240"/>
        <w:rPr>
          <w:rFonts w:asciiTheme="minorEastAsia" w:hAnsiTheme="minorEastAsia"/>
          <w:sz w:val="24"/>
          <w:szCs w:val="24"/>
        </w:rPr>
      </w:pPr>
      <w:r w:rsidRPr="0052198A">
        <w:rPr>
          <w:rFonts w:asciiTheme="minorEastAsia" w:hAnsiTheme="minorEastAsia" w:hint="eastAsia"/>
          <w:sz w:val="24"/>
          <w:szCs w:val="24"/>
        </w:rPr>
        <w:t>地域経済牽引事業に係る新型プレス機Ｘの取得時期は、令和６年４月を見込んでおり、新設する弊社第五工場の稼働開始は、令和６年度となる。このため、令和５年度の売上高等は、令和４年度と同額と見込んでいる。</w:t>
      </w:r>
    </w:p>
    <w:p w:rsidR="0052198A" w:rsidRPr="0052198A" w:rsidRDefault="0052198A" w:rsidP="0052198A">
      <w:pPr>
        <w:widowControl/>
        <w:ind w:firstLineChars="100" w:firstLine="240"/>
        <w:rPr>
          <w:rFonts w:asciiTheme="minorEastAsia" w:hAnsiTheme="minorEastAsia"/>
          <w:sz w:val="24"/>
          <w:szCs w:val="24"/>
        </w:rPr>
      </w:pPr>
    </w:p>
    <w:p w:rsidR="0052198A" w:rsidRPr="0052198A" w:rsidRDefault="0052198A" w:rsidP="0052198A">
      <w:pPr>
        <w:widowControl/>
        <w:rPr>
          <w:rFonts w:asciiTheme="minorEastAsia" w:hAnsiTheme="minorEastAsia"/>
          <w:sz w:val="24"/>
          <w:szCs w:val="24"/>
          <w:u w:val="single"/>
        </w:rPr>
      </w:pPr>
      <w:r w:rsidRPr="0052198A">
        <w:rPr>
          <w:rFonts w:asciiTheme="minorEastAsia" w:hAnsiTheme="minorEastAsia" w:hint="eastAsia"/>
          <w:sz w:val="24"/>
          <w:szCs w:val="24"/>
          <w:u w:val="single"/>
        </w:rPr>
        <w:t>３．令和６年度（2024 年度）の売上高等（推計）</w:t>
      </w:r>
    </w:p>
    <w:p w:rsidR="0052198A" w:rsidRPr="0052198A" w:rsidRDefault="0052198A" w:rsidP="0052198A">
      <w:pPr>
        <w:widowControl/>
        <w:rPr>
          <w:rFonts w:asciiTheme="minorEastAsia" w:hAnsiTheme="minorEastAsia"/>
          <w:sz w:val="24"/>
          <w:szCs w:val="24"/>
        </w:rPr>
      </w:pPr>
      <w:r w:rsidRPr="0052198A">
        <w:rPr>
          <w:rFonts w:asciiTheme="minorEastAsia" w:hAnsiTheme="minorEastAsia" w:hint="eastAsia"/>
          <w:sz w:val="24"/>
          <w:szCs w:val="24"/>
        </w:rPr>
        <w:t>（１）売上高</w:t>
      </w:r>
    </w:p>
    <w:p w:rsidR="0052198A" w:rsidRDefault="0052198A" w:rsidP="0052198A">
      <w:pPr>
        <w:widowControl/>
        <w:ind w:firstLineChars="100" w:firstLine="240"/>
        <w:rPr>
          <w:rFonts w:asciiTheme="minorEastAsia" w:hAnsiTheme="minorEastAsia"/>
          <w:sz w:val="24"/>
          <w:szCs w:val="24"/>
        </w:rPr>
      </w:pPr>
      <w:r w:rsidRPr="0052198A">
        <w:rPr>
          <w:rFonts w:asciiTheme="minorEastAsia" w:hAnsiTheme="minorEastAsia" w:hint="eastAsia"/>
          <w:sz w:val="24"/>
          <w:szCs w:val="24"/>
        </w:rPr>
        <w:t>第五工場で製造する小型化・軽量化した金型部品Ｍについて、令和６年度は以下の単価・数量の売上高を見込み、取引先と交渉中。また、令和７年度以降は、取引先の自動車製造台数拡大の見通しを踏まえ、各取引先に出荷する数量について、毎年度、前年比約５％増で増加する見込み（単価は変動しない）。</w:t>
      </w:r>
    </w:p>
    <w:p w:rsidR="0052198A" w:rsidRPr="0052198A" w:rsidRDefault="0052198A" w:rsidP="0052198A">
      <w:pPr>
        <w:widowControl/>
        <w:ind w:firstLineChars="100" w:firstLine="240"/>
        <w:rPr>
          <w:rFonts w:asciiTheme="minorEastAsia" w:hAnsiTheme="minorEastAsia"/>
          <w:sz w:val="24"/>
          <w:szCs w:val="24"/>
        </w:rPr>
      </w:pPr>
    </w:p>
    <w:p w:rsidR="0052198A" w:rsidRPr="00142F55" w:rsidRDefault="0052198A" w:rsidP="00142F55">
      <w:pPr>
        <w:widowControl/>
        <w:jc w:val="right"/>
        <w:rPr>
          <w:rFonts w:asciiTheme="minorEastAsia" w:hAnsiTheme="minorEastAsia"/>
          <w:sz w:val="20"/>
          <w:szCs w:val="20"/>
        </w:rPr>
      </w:pPr>
      <w:r w:rsidRPr="0052198A">
        <w:rPr>
          <w:rFonts w:asciiTheme="minorEastAsia" w:hAnsiTheme="minorEastAsia" w:hint="eastAsia"/>
          <w:sz w:val="24"/>
          <w:szCs w:val="24"/>
        </w:rPr>
        <w:t xml:space="preserve"> </w:t>
      </w:r>
      <w:r w:rsidRPr="00142F55">
        <w:rPr>
          <w:rFonts w:asciiTheme="minorEastAsia" w:hAnsiTheme="minorEastAsia" w:hint="eastAsia"/>
          <w:sz w:val="20"/>
          <w:szCs w:val="20"/>
        </w:rPr>
        <w:t>（単位：金額は千円・数量は個）</w:t>
      </w:r>
    </w:p>
    <w:tbl>
      <w:tblPr>
        <w:tblStyle w:val="aa"/>
        <w:tblW w:w="0" w:type="auto"/>
        <w:tblLook w:val="04A0" w:firstRow="1" w:lastRow="0" w:firstColumn="1" w:lastColumn="0" w:noHBand="0" w:noVBand="1"/>
      </w:tblPr>
      <w:tblGrid>
        <w:gridCol w:w="1307"/>
        <w:gridCol w:w="673"/>
        <w:gridCol w:w="1417"/>
        <w:gridCol w:w="1418"/>
        <w:gridCol w:w="1417"/>
        <w:gridCol w:w="1418"/>
        <w:gridCol w:w="1417"/>
        <w:gridCol w:w="1389"/>
      </w:tblGrid>
      <w:tr w:rsidR="00EC07F9" w:rsidTr="00EC07F9">
        <w:trPr>
          <w:trHeight w:val="762"/>
        </w:trPr>
        <w:tc>
          <w:tcPr>
            <w:tcW w:w="1307" w:type="dxa"/>
          </w:tcPr>
          <w:p w:rsidR="0052198A" w:rsidRPr="00EC07F9" w:rsidRDefault="0052198A" w:rsidP="00142F55">
            <w:pPr>
              <w:widowControl/>
              <w:spacing w:line="480" w:lineRule="auto"/>
              <w:jc w:val="center"/>
              <w:rPr>
                <w:rFonts w:asciiTheme="minorEastAsia" w:hAnsiTheme="minorEastAsia"/>
                <w:sz w:val="22"/>
              </w:rPr>
            </w:pPr>
            <w:r w:rsidRPr="00EC07F9">
              <w:rPr>
                <w:rFonts w:asciiTheme="minorEastAsia" w:hAnsiTheme="minorEastAsia" w:hint="eastAsia"/>
                <w:sz w:val="22"/>
              </w:rPr>
              <w:t>取引先</w:t>
            </w:r>
          </w:p>
        </w:tc>
        <w:tc>
          <w:tcPr>
            <w:tcW w:w="673" w:type="dxa"/>
          </w:tcPr>
          <w:p w:rsidR="0052198A" w:rsidRPr="00EC07F9" w:rsidRDefault="0052198A" w:rsidP="0080263F">
            <w:pPr>
              <w:widowControl/>
              <w:jc w:val="left"/>
              <w:rPr>
                <w:rFonts w:asciiTheme="minorEastAsia" w:hAnsiTheme="minorEastAsia"/>
                <w:sz w:val="22"/>
              </w:rPr>
            </w:pPr>
          </w:p>
        </w:tc>
        <w:tc>
          <w:tcPr>
            <w:tcW w:w="1417" w:type="dxa"/>
          </w:tcPr>
          <w:p w:rsidR="0052198A"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令和</w:t>
            </w:r>
            <w:r>
              <w:rPr>
                <w:rFonts w:asciiTheme="minorEastAsia" w:hAnsiTheme="minorEastAsia" w:hint="eastAsia"/>
                <w:sz w:val="18"/>
                <w:szCs w:val="18"/>
              </w:rPr>
              <w:t>６</w:t>
            </w:r>
            <w:r w:rsidRPr="00EC07F9">
              <w:rPr>
                <w:rFonts w:asciiTheme="minorEastAsia" w:hAnsiTheme="minorEastAsia" w:hint="eastAsia"/>
                <w:sz w:val="18"/>
                <w:szCs w:val="18"/>
              </w:rPr>
              <w:t>年度</w:t>
            </w:r>
          </w:p>
          <w:p w:rsidR="00EC07F9"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（2024年度）</w:t>
            </w:r>
          </w:p>
        </w:tc>
        <w:tc>
          <w:tcPr>
            <w:tcW w:w="1418" w:type="dxa"/>
          </w:tcPr>
          <w:p w:rsidR="00EC07F9"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令和</w:t>
            </w:r>
            <w:r>
              <w:rPr>
                <w:rFonts w:asciiTheme="minorEastAsia" w:hAnsiTheme="minorEastAsia" w:hint="eastAsia"/>
                <w:sz w:val="18"/>
                <w:szCs w:val="18"/>
              </w:rPr>
              <w:t>７</w:t>
            </w:r>
            <w:r w:rsidRPr="00EC07F9">
              <w:rPr>
                <w:rFonts w:asciiTheme="minorEastAsia" w:hAnsiTheme="minorEastAsia" w:hint="eastAsia"/>
                <w:sz w:val="18"/>
                <w:szCs w:val="18"/>
              </w:rPr>
              <w:t>年度</w:t>
            </w:r>
          </w:p>
          <w:p w:rsidR="0052198A"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w:t>
            </w:r>
            <w:r>
              <w:rPr>
                <w:rFonts w:asciiTheme="minorEastAsia" w:hAnsiTheme="minorEastAsia" w:hint="eastAsia"/>
                <w:sz w:val="18"/>
                <w:szCs w:val="18"/>
              </w:rPr>
              <w:t>2025</w:t>
            </w:r>
            <w:r w:rsidRPr="00EC07F9">
              <w:rPr>
                <w:rFonts w:asciiTheme="minorEastAsia" w:hAnsiTheme="minorEastAsia" w:hint="eastAsia"/>
                <w:sz w:val="18"/>
                <w:szCs w:val="18"/>
              </w:rPr>
              <w:t>年度）</w:t>
            </w:r>
          </w:p>
        </w:tc>
        <w:tc>
          <w:tcPr>
            <w:tcW w:w="1417" w:type="dxa"/>
          </w:tcPr>
          <w:p w:rsidR="00EC07F9"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令和</w:t>
            </w:r>
            <w:r>
              <w:rPr>
                <w:rFonts w:asciiTheme="minorEastAsia" w:hAnsiTheme="minorEastAsia" w:hint="eastAsia"/>
                <w:sz w:val="18"/>
                <w:szCs w:val="18"/>
              </w:rPr>
              <w:t>８</w:t>
            </w:r>
            <w:r w:rsidRPr="00EC07F9">
              <w:rPr>
                <w:rFonts w:asciiTheme="minorEastAsia" w:hAnsiTheme="minorEastAsia" w:hint="eastAsia"/>
                <w:sz w:val="18"/>
                <w:szCs w:val="18"/>
              </w:rPr>
              <w:t>年度</w:t>
            </w:r>
          </w:p>
          <w:p w:rsidR="0052198A"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（202</w:t>
            </w:r>
            <w:r>
              <w:rPr>
                <w:rFonts w:asciiTheme="minorEastAsia" w:hAnsiTheme="minorEastAsia" w:hint="eastAsia"/>
                <w:sz w:val="18"/>
                <w:szCs w:val="18"/>
              </w:rPr>
              <w:t>6</w:t>
            </w:r>
            <w:r w:rsidRPr="00EC07F9">
              <w:rPr>
                <w:rFonts w:asciiTheme="minorEastAsia" w:hAnsiTheme="minorEastAsia" w:hint="eastAsia"/>
                <w:sz w:val="18"/>
                <w:szCs w:val="18"/>
              </w:rPr>
              <w:t>年度）</w:t>
            </w:r>
          </w:p>
        </w:tc>
        <w:tc>
          <w:tcPr>
            <w:tcW w:w="1418" w:type="dxa"/>
          </w:tcPr>
          <w:p w:rsidR="00EC07F9"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令和</w:t>
            </w:r>
            <w:r>
              <w:rPr>
                <w:rFonts w:asciiTheme="minorEastAsia" w:hAnsiTheme="minorEastAsia" w:hint="eastAsia"/>
                <w:sz w:val="18"/>
                <w:szCs w:val="18"/>
              </w:rPr>
              <w:t>９</w:t>
            </w:r>
            <w:r w:rsidRPr="00EC07F9">
              <w:rPr>
                <w:rFonts w:asciiTheme="minorEastAsia" w:hAnsiTheme="minorEastAsia" w:hint="eastAsia"/>
                <w:sz w:val="18"/>
                <w:szCs w:val="18"/>
              </w:rPr>
              <w:t>年度</w:t>
            </w:r>
          </w:p>
          <w:p w:rsidR="0052198A"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（202</w:t>
            </w:r>
            <w:r>
              <w:rPr>
                <w:rFonts w:asciiTheme="minorEastAsia" w:hAnsiTheme="minorEastAsia" w:hint="eastAsia"/>
                <w:sz w:val="18"/>
                <w:szCs w:val="18"/>
              </w:rPr>
              <w:t>7</w:t>
            </w:r>
            <w:r w:rsidRPr="00EC07F9">
              <w:rPr>
                <w:rFonts w:asciiTheme="minorEastAsia" w:hAnsiTheme="minorEastAsia" w:hint="eastAsia"/>
                <w:sz w:val="18"/>
                <w:szCs w:val="18"/>
              </w:rPr>
              <w:t>年度）</w:t>
            </w:r>
          </w:p>
        </w:tc>
        <w:tc>
          <w:tcPr>
            <w:tcW w:w="1417" w:type="dxa"/>
          </w:tcPr>
          <w:p w:rsidR="00EC07F9"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令和</w:t>
            </w:r>
            <w:r>
              <w:rPr>
                <w:rFonts w:asciiTheme="minorEastAsia" w:hAnsiTheme="minorEastAsia" w:hint="eastAsia"/>
                <w:sz w:val="18"/>
                <w:szCs w:val="18"/>
              </w:rPr>
              <w:t>10</w:t>
            </w:r>
            <w:r w:rsidRPr="00EC07F9">
              <w:rPr>
                <w:rFonts w:asciiTheme="minorEastAsia" w:hAnsiTheme="minorEastAsia" w:hint="eastAsia"/>
                <w:sz w:val="18"/>
                <w:szCs w:val="18"/>
              </w:rPr>
              <w:t>年度</w:t>
            </w:r>
          </w:p>
          <w:p w:rsidR="0052198A"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（202</w:t>
            </w:r>
            <w:r>
              <w:rPr>
                <w:rFonts w:asciiTheme="minorEastAsia" w:hAnsiTheme="minorEastAsia" w:hint="eastAsia"/>
                <w:sz w:val="18"/>
                <w:szCs w:val="18"/>
              </w:rPr>
              <w:t>8</w:t>
            </w:r>
            <w:r w:rsidRPr="00EC07F9">
              <w:rPr>
                <w:rFonts w:asciiTheme="minorEastAsia" w:hAnsiTheme="minorEastAsia" w:hint="eastAsia"/>
                <w:sz w:val="18"/>
                <w:szCs w:val="18"/>
              </w:rPr>
              <w:t>年度）</w:t>
            </w:r>
          </w:p>
        </w:tc>
        <w:tc>
          <w:tcPr>
            <w:tcW w:w="1389" w:type="dxa"/>
          </w:tcPr>
          <w:p w:rsidR="00EC07F9"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令和</w:t>
            </w:r>
            <w:r>
              <w:rPr>
                <w:rFonts w:asciiTheme="minorEastAsia" w:hAnsiTheme="minorEastAsia" w:hint="eastAsia"/>
                <w:sz w:val="18"/>
                <w:szCs w:val="18"/>
              </w:rPr>
              <w:t>11</w:t>
            </w:r>
            <w:r w:rsidRPr="00EC07F9">
              <w:rPr>
                <w:rFonts w:asciiTheme="minorEastAsia" w:hAnsiTheme="minorEastAsia" w:hint="eastAsia"/>
                <w:sz w:val="18"/>
                <w:szCs w:val="18"/>
              </w:rPr>
              <w:t>年度</w:t>
            </w:r>
          </w:p>
          <w:p w:rsidR="0052198A" w:rsidRPr="00EC07F9" w:rsidRDefault="00EC07F9" w:rsidP="00EC07F9">
            <w:pPr>
              <w:widowControl/>
              <w:jc w:val="center"/>
              <w:rPr>
                <w:rFonts w:asciiTheme="minorEastAsia" w:hAnsiTheme="minorEastAsia"/>
                <w:sz w:val="18"/>
                <w:szCs w:val="18"/>
              </w:rPr>
            </w:pPr>
            <w:r w:rsidRPr="00EC07F9">
              <w:rPr>
                <w:rFonts w:asciiTheme="minorEastAsia" w:hAnsiTheme="minorEastAsia" w:hint="eastAsia"/>
                <w:sz w:val="18"/>
                <w:szCs w:val="18"/>
              </w:rPr>
              <w:t>（202</w:t>
            </w:r>
            <w:r>
              <w:rPr>
                <w:rFonts w:asciiTheme="minorEastAsia" w:hAnsiTheme="minorEastAsia" w:hint="eastAsia"/>
                <w:sz w:val="18"/>
                <w:szCs w:val="18"/>
              </w:rPr>
              <w:t>9</w:t>
            </w:r>
            <w:r w:rsidRPr="00EC07F9">
              <w:rPr>
                <w:rFonts w:asciiTheme="minorEastAsia" w:hAnsiTheme="minorEastAsia" w:hint="eastAsia"/>
                <w:sz w:val="18"/>
                <w:szCs w:val="18"/>
              </w:rPr>
              <w:t>年度）</w:t>
            </w:r>
          </w:p>
        </w:tc>
      </w:tr>
      <w:tr w:rsidR="00EC07F9" w:rsidTr="00341315">
        <w:tc>
          <w:tcPr>
            <w:tcW w:w="1307" w:type="dxa"/>
            <w:vMerge w:val="restart"/>
          </w:tcPr>
          <w:p w:rsidR="00EC07F9" w:rsidRPr="00EC07F9" w:rsidRDefault="00EC07F9" w:rsidP="00142F55">
            <w:pPr>
              <w:widowControl/>
              <w:jc w:val="center"/>
              <w:rPr>
                <w:rFonts w:asciiTheme="minorEastAsia" w:hAnsiTheme="minorEastAsia"/>
                <w:sz w:val="22"/>
              </w:rPr>
            </w:pPr>
            <w:r>
              <w:rPr>
                <w:rFonts w:asciiTheme="minorEastAsia" w:hAnsiTheme="minorEastAsia" w:hint="eastAsia"/>
                <w:sz w:val="22"/>
              </w:rPr>
              <w:t>Ｃ自動車株式会社向け出荷</w:t>
            </w:r>
          </w:p>
        </w:tc>
        <w:tc>
          <w:tcPr>
            <w:tcW w:w="673" w:type="dxa"/>
          </w:tcPr>
          <w:p w:rsidR="00EC07F9" w:rsidRPr="00EC07F9" w:rsidRDefault="00EC07F9" w:rsidP="0080263F">
            <w:pPr>
              <w:widowControl/>
              <w:jc w:val="left"/>
              <w:rPr>
                <w:rFonts w:asciiTheme="minorEastAsia" w:hAnsiTheme="minorEastAsia"/>
                <w:sz w:val="22"/>
              </w:rPr>
            </w:pPr>
            <w:r w:rsidRPr="00EC07F9">
              <w:rPr>
                <w:rFonts w:asciiTheme="minorEastAsia" w:hAnsiTheme="minorEastAsia" w:hint="eastAsia"/>
                <w:sz w:val="22"/>
              </w:rPr>
              <w:t>単価</w:t>
            </w:r>
          </w:p>
        </w:tc>
        <w:tc>
          <w:tcPr>
            <w:tcW w:w="8476" w:type="dxa"/>
            <w:gridSpan w:val="6"/>
          </w:tcPr>
          <w:p w:rsidR="00EC07F9" w:rsidRPr="00EC07F9" w:rsidRDefault="00EC07F9" w:rsidP="00EC07F9">
            <w:pPr>
              <w:widowControl/>
              <w:jc w:val="center"/>
              <w:rPr>
                <w:rFonts w:asciiTheme="minorEastAsia" w:hAnsiTheme="minorEastAsia"/>
                <w:sz w:val="22"/>
              </w:rPr>
            </w:pPr>
            <w:r>
              <w:rPr>
                <w:rFonts w:asciiTheme="minorEastAsia" w:hAnsiTheme="minorEastAsia" w:hint="eastAsia"/>
                <w:sz w:val="22"/>
              </w:rPr>
              <w:t>120</w:t>
            </w:r>
          </w:p>
        </w:tc>
      </w:tr>
      <w:tr w:rsidR="00EC07F9" w:rsidTr="00EC07F9">
        <w:tc>
          <w:tcPr>
            <w:tcW w:w="1307" w:type="dxa"/>
            <w:vMerge/>
          </w:tcPr>
          <w:p w:rsidR="0052198A" w:rsidRPr="00EC07F9" w:rsidRDefault="0052198A" w:rsidP="00142F55">
            <w:pPr>
              <w:widowControl/>
              <w:jc w:val="center"/>
              <w:rPr>
                <w:rFonts w:asciiTheme="minorEastAsia" w:hAnsiTheme="minorEastAsia"/>
                <w:sz w:val="22"/>
              </w:rPr>
            </w:pPr>
          </w:p>
        </w:tc>
        <w:tc>
          <w:tcPr>
            <w:tcW w:w="673" w:type="dxa"/>
          </w:tcPr>
          <w:p w:rsidR="0052198A" w:rsidRPr="00EC07F9" w:rsidRDefault="0052198A" w:rsidP="0080263F">
            <w:pPr>
              <w:widowControl/>
              <w:jc w:val="left"/>
              <w:rPr>
                <w:rFonts w:asciiTheme="minorEastAsia" w:hAnsiTheme="minorEastAsia"/>
                <w:sz w:val="22"/>
              </w:rPr>
            </w:pPr>
            <w:r w:rsidRPr="00EC07F9">
              <w:rPr>
                <w:rFonts w:asciiTheme="minorEastAsia" w:hAnsiTheme="minorEastAsia" w:hint="eastAsia"/>
                <w:sz w:val="22"/>
              </w:rPr>
              <w:t>数量</w:t>
            </w:r>
          </w:p>
        </w:tc>
        <w:tc>
          <w:tcPr>
            <w:tcW w:w="1417"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,000</w:t>
            </w:r>
          </w:p>
        </w:tc>
        <w:tc>
          <w:tcPr>
            <w:tcW w:w="1418"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,050</w:t>
            </w:r>
          </w:p>
        </w:tc>
        <w:tc>
          <w:tcPr>
            <w:tcW w:w="1417"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,100</w:t>
            </w:r>
          </w:p>
        </w:tc>
        <w:tc>
          <w:tcPr>
            <w:tcW w:w="1418"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,155</w:t>
            </w:r>
          </w:p>
        </w:tc>
        <w:tc>
          <w:tcPr>
            <w:tcW w:w="1417"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,210</w:t>
            </w:r>
          </w:p>
        </w:tc>
        <w:tc>
          <w:tcPr>
            <w:tcW w:w="1389"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,270</w:t>
            </w:r>
          </w:p>
        </w:tc>
      </w:tr>
      <w:tr w:rsidR="00EC07F9" w:rsidTr="00EC07F9">
        <w:tc>
          <w:tcPr>
            <w:tcW w:w="1307" w:type="dxa"/>
            <w:vMerge/>
          </w:tcPr>
          <w:p w:rsidR="0052198A" w:rsidRPr="00EC07F9" w:rsidRDefault="0052198A" w:rsidP="00142F55">
            <w:pPr>
              <w:widowControl/>
              <w:jc w:val="center"/>
              <w:rPr>
                <w:rFonts w:asciiTheme="minorEastAsia" w:hAnsiTheme="minorEastAsia"/>
                <w:sz w:val="22"/>
              </w:rPr>
            </w:pPr>
          </w:p>
        </w:tc>
        <w:tc>
          <w:tcPr>
            <w:tcW w:w="673" w:type="dxa"/>
          </w:tcPr>
          <w:p w:rsidR="0052198A" w:rsidRPr="00EC07F9" w:rsidRDefault="00EC07F9" w:rsidP="0080263F">
            <w:pPr>
              <w:widowControl/>
              <w:jc w:val="left"/>
              <w:rPr>
                <w:rFonts w:asciiTheme="minorEastAsia" w:hAnsiTheme="minorEastAsia"/>
                <w:sz w:val="22"/>
              </w:rPr>
            </w:pPr>
            <w:r w:rsidRPr="00EC07F9">
              <w:rPr>
                <w:rFonts w:asciiTheme="minorEastAsia" w:hAnsiTheme="minorEastAsia" w:hint="eastAsia"/>
                <w:sz w:val="22"/>
              </w:rPr>
              <w:t>金額</w:t>
            </w:r>
          </w:p>
        </w:tc>
        <w:tc>
          <w:tcPr>
            <w:tcW w:w="1417"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20,000</w:t>
            </w:r>
          </w:p>
        </w:tc>
        <w:tc>
          <w:tcPr>
            <w:tcW w:w="1418"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26,000</w:t>
            </w:r>
          </w:p>
        </w:tc>
        <w:tc>
          <w:tcPr>
            <w:tcW w:w="1417"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32,000</w:t>
            </w:r>
          </w:p>
        </w:tc>
        <w:tc>
          <w:tcPr>
            <w:tcW w:w="1418"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38,600</w:t>
            </w:r>
          </w:p>
        </w:tc>
        <w:tc>
          <w:tcPr>
            <w:tcW w:w="1417"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45,200</w:t>
            </w:r>
          </w:p>
        </w:tc>
        <w:tc>
          <w:tcPr>
            <w:tcW w:w="1389" w:type="dxa"/>
          </w:tcPr>
          <w:p w:rsidR="0052198A" w:rsidRPr="00EC07F9" w:rsidRDefault="00EC07F9"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52,400</w:t>
            </w:r>
          </w:p>
        </w:tc>
      </w:tr>
      <w:tr w:rsidR="00142F55" w:rsidTr="00477A5E">
        <w:tc>
          <w:tcPr>
            <w:tcW w:w="1307" w:type="dxa"/>
            <w:vMerge w:val="restart"/>
          </w:tcPr>
          <w:p w:rsidR="00142F55" w:rsidRPr="00EC07F9" w:rsidRDefault="00142F55" w:rsidP="00142F55">
            <w:pPr>
              <w:widowControl/>
              <w:jc w:val="center"/>
              <w:rPr>
                <w:rFonts w:asciiTheme="minorEastAsia" w:hAnsiTheme="minorEastAsia"/>
                <w:sz w:val="22"/>
              </w:rPr>
            </w:pPr>
            <w:r>
              <w:rPr>
                <w:rFonts w:asciiTheme="minorEastAsia" w:hAnsiTheme="minorEastAsia" w:hint="eastAsia"/>
                <w:sz w:val="22"/>
              </w:rPr>
              <w:t>Ｄ自動車株式会社向け出荷</w:t>
            </w:r>
          </w:p>
        </w:tc>
        <w:tc>
          <w:tcPr>
            <w:tcW w:w="673" w:type="dxa"/>
          </w:tcPr>
          <w:p w:rsidR="00142F55" w:rsidRPr="00EC07F9" w:rsidRDefault="00142F55" w:rsidP="0080263F">
            <w:pPr>
              <w:widowControl/>
              <w:jc w:val="left"/>
              <w:rPr>
                <w:rFonts w:asciiTheme="minorEastAsia" w:hAnsiTheme="minorEastAsia"/>
                <w:sz w:val="22"/>
              </w:rPr>
            </w:pPr>
            <w:r>
              <w:rPr>
                <w:rFonts w:asciiTheme="minorEastAsia" w:hAnsiTheme="minorEastAsia" w:hint="eastAsia"/>
                <w:sz w:val="22"/>
              </w:rPr>
              <w:t>単価</w:t>
            </w:r>
          </w:p>
        </w:tc>
        <w:tc>
          <w:tcPr>
            <w:tcW w:w="8476" w:type="dxa"/>
            <w:gridSpan w:val="6"/>
          </w:tcPr>
          <w:p w:rsidR="00142F55" w:rsidRPr="00EC07F9" w:rsidRDefault="00142F55" w:rsidP="00142F55">
            <w:pPr>
              <w:widowControl/>
              <w:jc w:val="center"/>
              <w:rPr>
                <w:rFonts w:asciiTheme="minorEastAsia" w:hAnsiTheme="minorEastAsia"/>
                <w:sz w:val="22"/>
              </w:rPr>
            </w:pPr>
            <w:r>
              <w:rPr>
                <w:rFonts w:asciiTheme="minorEastAsia" w:hAnsiTheme="minorEastAsia" w:hint="eastAsia"/>
                <w:sz w:val="22"/>
              </w:rPr>
              <w:t>1</w:t>
            </w:r>
            <w:r>
              <w:rPr>
                <w:rFonts w:asciiTheme="minorEastAsia" w:hAnsiTheme="minorEastAsia"/>
                <w:sz w:val="22"/>
              </w:rPr>
              <w:t>50</w:t>
            </w:r>
          </w:p>
        </w:tc>
      </w:tr>
      <w:tr w:rsidR="00EC07F9" w:rsidTr="00EC07F9">
        <w:tc>
          <w:tcPr>
            <w:tcW w:w="1307" w:type="dxa"/>
            <w:vMerge/>
          </w:tcPr>
          <w:p w:rsidR="00EC07F9" w:rsidRPr="00EC07F9" w:rsidRDefault="00EC07F9" w:rsidP="0080263F">
            <w:pPr>
              <w:widowControl/>
              <w:jc w:val="left"/>
              <w:rPr>
                <w:rFonts w:asciiTheme="minorEastAsia" w:hAnsiTheme="minorEastAsia"/>
                <w:sz w:val="22"/>
              </w:rPr>
            </w:pPr>
          </w:p>
        </w:tc>
        <w:tc>
          <w:tcPr>
            <w:tcW w:w="673" w:type="dxa"/>
          </w:tcPr>
          <w:p w:rsidR="00EC07F9" w:rsidRPr="00EC07F9" w:rsidRDefault="00EC07F9" w:rsidP="0080263F">
            <w:pPr>
              <w:widowControl/>
              <w:jc w:val="left"/>
              <w:rPr>
                <w:rFonts w:asciiTheme="minorEastAsia" w:hAnsiTheme="minorEastAsia"/>
                <w:sz w:val="22"/>
              </w:rPr>
            </w:pPr>
            <w:r>
              <w:rPr>
                <w:rFonts w:asciiTheme="minorEastAsia" w:hAnsiTheme="minorEastAsia" w:hint="eastAsia"/>
                <w:sz w:val="22"/>
              </w:rPr>
              <w:t>数量</w:t>
            </w:r>
          </w:p>
        </w:tc>
        <w:tc>
          <w:tcPr>
            <w:tcW w:w="1417"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6</w:t>
            </w:r>
            <w:r>
              <w:rPr>
                <w:rFonts w:asciiTheme="minorEastAsia" w:hAnsiTheme="minorEastAsia"/>
                <w:sz w:val="22"/>
              </w:rPr>
              <w:t>70</w:t>
            </w:r>
          </w:p>
        </w:tc>
        <w:tc>
          <w:tcPr>
            <w:tcW w:w="1418"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7</w:t>
            </w:r>
            <w:r>
              <w:rPr>
                <w:rFonts w:asciiTheme="minorEastAsia" w:hAnsiTheme="minorEastAsia"/>
                <w:sz w:val="22"/>
              </w:rPr>
              <w:t>00</w:t>
            </w:r>
          </w:p>
        </w:tc>
        <w:tc>
          <w:tcPr>
            <w:tcW w:w="1417"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7</w:t>
            </w:r>
            <w:r>
              <w:rPr>
                <w:rFonts w:asciiTheme="minorEastAsia" w:hAnsiTheme="minorEastAsia"/>
                <w:sz w:val="22"/>
              </w:rPr>
              <w:t>40</w:t>
            </w:r>
          </w:p>
        </w:tc>
        <w:tc>
          <w:tcPr>
            <w:tcW w:w="1418"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7</w:t>
            </w:r>
            <w:r>
              <w:rPr>
                <w:rFonts w:asciiTheme="minorEastAsia" w:hAnsiTheme="minorEastAsia"/>
                <w:sz w:val="22"/>
              </w:rPr>
              <w:t>80</w:t>
            </w:r>
          </w:p>
        </w:tc>
        <w:tc>
          <w:tcPr>
            <w:tcW w:w="1417"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8</w:t>
            </w:r>
            <w:r>
              <w:rPr>
                <w:rFonts w:asciiTheme="minorEastAsia" w:hAnsiTheme="minorEastAsia"/>
                <w:sz w:val="22"/>
              </w:rPr>
              <w:t>10</w:t>
            </w:r>
          </w:p>
        </w:tc>
        <w:tc>
          <w:tcPr>
            <w:tcW w:w="1389"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8</w:t>
            </w:r>
            <w:r>
              <w:rPr>
                <w:rFonts w:asciiTheme="minorEastAsia" w:hAnsiTheme="minorEastAsia"/>
                <w:sz w:val="22"/>
              </w:rPr>
              <w:t>60</w:t>
            </w:r>
          </w:p>
        </w:tc>
      </w:tr>
      <w:tr w:rsidR="00EC07F9" w:rsidTr="00EC07F9">
        <w:tc>
          <w:tcPr>
            <w:tcW w:w="1307" w:type="dxa"/>
            <w:vMerge/>
          </w:tcPr>
          <w:p w:rsidR="00EC07F9" w:rsidRPr="00EC07F9" w:rsidRDefault="00EC07F9" w:rsidP="0080263F">
            <w:pPr>
              <w:widowControl/>
              <w:jc w:val="left"/>
              <w:rPr>
                <w:rFonts w:asciiTheme="minorEastAsia" w:hAnsiTheme="minorEastAsia"/>
                <w:sz w:val="22"/>
              </w:rPr>
            </w:pPr>
          </w:p>
        </w:tc>
        <w:tc>
          <w:tcPr>
            <w:tcW w:w="673" w:type="dxa"/>
          </w:tcPr>
          <w:p w:rsidR="00EC07F9" w:rsidRPr="00EC07F9" w:rsidRDefault="00EC07F9" w:rsidP="0080263F">
            <w:pPr>
              <w:widowControl/>
              <w:jc w:val="left"/>
              <w:rPr>
                <w:rFonts w:asciiTheme="minorEastAsia" w:hAnsiTheme="minorEastAsia"/>
                <w:sz w:val="22"/>
              </w:rPr>
            </w:pPr>
            <w:r>
              <w:rPr>
                <w:rFonts w:asciiTheme="minorEastAsia" w:hAnsiTheme="minorEastAsia" w:hint="eastAsia"/>
                <w:sz w:val="22"/>
              </w:rPr>
              <w:t>金額</w:t>
            </w:r>
          </w:p>
        </w:tc>
        <w:tc>
          <w:tcPr>
            <w:tcW w:w="1417"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00,500</w:t>
            </w:r>
          </w:p>
        </w:tc>
        <w:tc>
          <w:tcPr>
            <w:tcW w:w="1418"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05,000</w:t>
            </w:r>
          </w:p>
        </w:tc>
        <w:tc>
          <w:tcPr>
            <w:tcW w:w="1417"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11,000</w:t>
            </w:r>
          </w:p>
        </w:tc>
        <w:tc>
          <w:tcPr>
            <w:tcW w:w="1418"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17,000</w:t>
            </w:r>
          </w:p>
        </w:tc>
        <w:tc>
          <w:tcPr>
            <w:tcW w:w="1417"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21,500</w:t>
            </w:r>
          </w:p>
        </w:tc>
        <w:tc>
          <w:tcPr>
            <w:tcW w:w="1389" w:type="dxa"/>
          </w:tcPr>
          <w:p w:rsidR="00EC07F9" w:rsidRPr="00EC07F9" w:rsidRDefault="00142F55" w:rsidP="00EC07F9">
            <w:pPr>
              <w:widowControl/>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29,000</w:t>
            </w:r>
          </w:p>
        </w:tc>
      </w:tr>
      <w:tr w:rsidR="00142F55" w:rsidTr="009D2D98">
        <w:tc>
          <w:tcPr>
            <w:tcW w:w="1980" w:type="dxa"/>
            <w:gridSpan w:val="2"/>
          </w:tcPr>
          <w:p w:rsidR="00142F55" w:rsidRPr="00EC07F9" w:rsidRDefault="00142F55" w:rsidP="00142F55">
            <w:pPr>
              <w:widowControl/>
              <w:jc w:val="center"/>
              <w:rPr>
                <w:rFonts w:asciiTheme="minorEastAsia" w:hAnsiTheme="minorEastAsia"/>
                <w:sz w:val="22"/>
              </w:rPr>
            </w:pPr>
            <w:r>
              <w:rPr>
                <w:rFonts w:asciiTheme="minorEastAsia" w:hAnsiTheme="minorEastAsia" w:hint="eastAsia"/>
                <w:sz w:val="22"/>
              </w:rPr>
              <w:t>合計金額</w:t>
            </w:r>
          </w:p>
        </w:tc>
        <w:tc>
          <w:tcPr>
            <w:tcW w:w="1417" w:type="dxa"/>
          </w:tcPr>
          <w:p w:rsidR="00142F55" w:rsidRPr="00EC07F9" w:rsidRDefault="00142F55" w:rsidP="00EC07F9">
            <w:pPr>
              <w:widowControl/>
              <w:jc w:val="right"/>
              <w:rPr>
                <w:rFonts w:asciiTheme="minorEastAsia" w:hAnsiTheme="minorEastAsia"/>
                <w:sz w:val="22"/>
              </w:rPr>
            </w:pPr>
            <w:r>
              <w:rPr>
                <w:rFonts w:asciiTheme="minorEastAsia" w:hAnsiTheme="minorEastAsia" w:hint="eastAsia"/>
                <w:sz w:val="22"/>
              </w:rPr>
              <w:t>2</w:t>
            </w:r>
            <w:r>
              <w:rPr>
                <w:rFonts w:asciiTheme="minorEastAsia" w:hAnsiTheme="minorEastAsia"/>
                <w:sz w:val="22"/>
              </w:rPr>
              <w:t>20,500</w:t>
            </w:r>
          </w:p>
        </w:tc>
        <w:tc>
          <w:tcPr>
            <w:tcW w:w="1418" w:type="dxa"/>
          </w:tcPr>
          <w:p w:rsidR="00142F55" w:rsidRPr="00EC07F9" w:rsidRDefault="00142F55" w:rsidP="00EC07F9">
            <w:pPr>
              <w:widowControl/>
              <w:jc w:val="right"/>
              <w:rPr>
                <w:rFonts w:asciiTheme="minorEastAsia" w:hAnsiTheme="minorEastAsia"/>
                <w:sz w:val="22"/>
              </w:rPr>
            </w:pPr>
            <w:r>
              <w:rPr>
                <w:rFonts w:asciiTheme="minorEastAsia" w:hAnsiTheme="minorEastAsia" w:hint="eastAsia"/>
                <w:sz w:val="22"/>
              </w:rPr>
              <w:t>2</w:t>
            </w:r>
            <w:r>
              <w:rPr>
                <w:rFonts w:asciiTheme="minorEastAsia" w:hAnsiTheme="minorEastAsia"/>
                <w:sz w:val="22"/>
              </w:rPr>
              <w:t>31,000</w:t>
            </w:r>
          </w:p>
        </w:tc>
        <w:tc>
          <w:tcPr>
            <w:tcW w:w="1417" w:type="dxa"/>
          </w:tcPr>
          <w:p w:rsidR="00142F55" w:rsidRPr="00EC07F9" w:rsidRDefault="00142F55" w:rsidP="00EC07F9">
            <w:pPr>
              <w:widowControl/>
              <w:jc w:val="right"/>
              <w:rPr>
                <w:rFonts w:asciiTheme="minorEastAsia" w:hAnsiTheme="minorEastAsia"/>
                <w:sz w:val="22"/>
              </w:rPr>
            </w:pPr>
            <w:r>
              <w:rPr>
                <w:rFonts w:asciiTheme="minorEastAsia" w:hAnsiTheme="minorEastAsia" w:hint="eastAsia"/>
                <w:sz w:val="22"/>
              </w:rPr>
              <w:t>2</w:t>
            </w:r>
            <w:r>
              <w:rPr>
                <w:rFonts w:asciiTheme="minorEastAsia" w:hAnsiTheme="minorEastAsia"/>
                <w:sz w:val="22"/>
              </w:rPr>
              <w:t>43,000</w:t>
            </w:r>
          </w:p>
        </w:tc>
        <w:tc>
          <w:tcPr>
            <w:tcW w:w="1418" w:type="dxa"/>
          </w:tcPr>
          <w:p w:rsidR="00142F55" w:rsidRPr="00EC07F9" w:rsidRDefault="00142F55" w:rsidP="00EC07F9">
            <w:pPr>
              <w:widowControl/>
              <w:jc w:val="right"/>
              <w:rPr>
                <w:rFonts w:asciiTheme="minorEastAsia" w:hAnsiTheme="minorEastAsia"/>
                <w:sz w:val="22"/>
              </w:rPr>
            </w:pPr>
            <w:r>
              <w:rPr>
                <w:rFonts w:asciiTheme="minorEastAsia" w:hAnsiTheme="minorEastAsia" w:hint="eastAsia"/>
                <w:sz w:val="22"/>
              </w:rPr>
              <w:t>2</w:t>
            </w:r>
            <w:r>
              <w:rPr>
                <w:rFonts w:asciiTheme="minorEastAsia" w:hAnsiTheme="minorEastAsia"/>
                <w:sz w:val="22"/>
              </w:rPr>
              <w:t>55,600</w:t>
            </w:r>
          </w:p>
        </w:tc>
        <w:tc>
          <w:tcPr>
            <w:tcW w:w="1417" w:type="dxa"/>
          </w:tcPr>
          <w:p w:rsidR="00142F55" w:rsidRPr="00EC07F9" w:rsidRDefault="00142F55" w:rsidP="00EC07F9">
            <w:pPr>
              <w:widowControl/>
              <w:jc w:val="right"/>
              <w:rPr>
                <w:rFonts w:asciiTheme="minorEastAsia" w:hAnsiTheme="minorEastAsia"/>
                <w:sz w:val="22"/>
              </w:rPr>
            </w:pPr>
            <w:r>
              <w:rPr>
                <w:rFonts w:asciiTheme="minorEastAsia" w:hAnsiTheme="minorEastAsia" w:hint="eastAsia"/>
                <w:sz w:val="22"/>
              </w:rPr>
              <w:t>2</w:t>
            </w:r>
            <w:r>
              <w:rPr>
                <w:rFonts w:asciiTheme="minorEastAsia" w:hAnsiTheme="minorEastAsia"/>
                <w:sz w:val="22"/>
              </w:rPr>
              <w:t>66,700</w:t>
            </w:r>
          </w:p>
        </w:tc>
        <w:tc>
          <w:tcPr>
            <w:tcW w:w="1389" w:type="dxa"/>
          </w:tcPr>
          <w:p w:rsidR="00142F55" w:rsidRPr="00EC07F9" w:rsidRDefault="00142F55" w:rsidP="00142F55">
            <w:pPr>
              <w:widowControl/>
              <w:jc w:val="right"/>
              <w:rPr>
                <w:rFonts w:asciiTheme="minorEastAsia" w:hAnsiTheme="minorEastAsia"/>
                <w:sz w:val="22"/>
              </w:rPr>
            </w:pPr>
            <w:r>
              <w:rPr>
                <w:rFonts w:asciiTheme="minorEastAsia" w:hAnsiTheme="minorEastAsia" w:hint="eastAsia"/>
                <w:sz w:val="22"/>
              </w:rPr>
              <w:t>2</w:t>
            </w:r>
            <w:r>
              <w:rPr>
                <w:rFonts w:asciiTheme="minorEastAsia" w:hAnsiTheme="minorEastAsia"/>
                <w:sz w:val="22"/>
              </w:rPr>
              <w:t>81,400</w:t>
            </w:r>
          </w:p>
        </w:tc>
      </w:tr>
    </w:tbl>
    <w:p w:rsidR="00A323D2" w:rsidRDefault="00A323D2" w:rsidP="0080263F">
      <w:pPr>
        <w:widowControl/>
        <w:jc w:val="left"/>
        <w:rPr>
          <w:rFonts w:asciiTheme="minorEastAsia" w:hAnsiTheme="minorEastAsia"/>
          <w:sz w:val="24"/>
          <w:szCs w:val="24"/>
        </w:rPr>
      </w:pPr>
    </w:p>
    <w:p w:rsidR="00142F55" w:rsidRDefault="00142F55">
      <w:pPr>
        <w:widowControl/>
        <w:jc w:val="left"/>
        <w:rPr>
          <w:rFonts w:asciiTheme="minorEastAsia" w:hAnsiTheme="minorEastAsia"/>
          <w:sz w:val="24"/>
          <w:szCs w:val="24"/>
        </w:rPr>
      </w:pPr>
      <w:r>
        <w:rPr>
          <w:rFonts w:asciiTheme="minorEastAsia" w:hAnsiTheme="minorEastAsia"/>
          <w:sz w:val="24"/>
          <w:szCs w:val="24"/>
        </w:rPr>
        <w:br w:type="page"/>
      </w:r>
    </w:p>
    <w:p w:rsidR="00142F55" w:rsidRPr="00142F55" w:rsidRDefault="00142F55" w:rsidP="00142F55">
      <w:pPr>
        <w:widowControl/>
        <w:jc w:val="left"/>
        <w:rPr>
          <w:rFonts w:asciiTheme="minorEastAsia" w:hAnsiTheme="minorEastAsia"/>
          <w:sz w:val="24"/>
          <w:szCs w:val="24"/>
        </w:rPr>
      </w:pPr>
      <w:r w:rsidRPr="00142F55">
        <w:rPr>
          <w:rFonts w:asciiTheme="minorEastAsia" w:hAnsiTheme="minorEastAsia" w:hint="eastAsia"/>
          <w:sz w:val="24"/>
          <w:szCs w:val="24"/>
        </w:rPr>
        <w:lastRenderedPageBreak/>
        <w:t>（２）売上原価・販売費及び一般管理費</w:t>
      </w:r>
    </w:p>
    <w:p w:rsidR="00142F55" w:rsidRPr="00142F55" w:rsidRDefault="00142F55" w:rsidP="00142F55">
      <w:pPr>
        <w:widowControl/>
        <w:ind w:firstLineChars="100" w:firstLine="240"/>
        <w:jc w:val="left"/>
        <w:rPr>
          <w:rFonts w:asciiTheme="minorEastAsia" w:hAnsiTheme="minorEastAsia"/>
          <w:sz w:val="24"/>
          <w:szCs w:val="24"/>
        </w:rPr>
      </w:pPr>
      <w:r w:rsidRPr="00142F55">
        <w:rPr>
          <w:rFonts w:asciiTheme="minorEastAsia" w:hAnsiTheme="minorEastAsia" w:hint="eastAsia"/>
          <w:sz w:val="24"/>
          <w:szCs w:val="24"/>
        </w:rPr>
        <w:t>① 売上原価</w:t>
      </w:r>
    </w:p>
    <w:p w:rsidR="00142F55" w:rsidRDefault="00142F55" w:rsidP="00142F55">
      <w:pPr>
        <w:widowControl/>
        <w:ind w:leftChars="100" w:left="210" w:firstLineChars="100" w:firstLine="240"/>
        <w:jc w:val="left"/>
        <w:rPr>
          <w:rFonts w:asciiTheme="minorEastAsia" w:hAnsiTheme="minorEastAsia"/>
          <w:sz w:val="24"/>
          <w:szCs w:val="24"/>
        </w:rPr>
      </w:pPr>
      <w:r w:rsidRPr="00142F55">
        <w:rPr>
          <w:rFonts w:asciiTheme="minorEastAsia" w:hAnsiTheme="minorEastAsia" w:hint="eastAsia"/>
          <w:sz w:val="24"/>
          <w:szCs w:val="24"/>
        </w:rPr>
        <w:t>令和４年度実績において、売上原価は売上高比 68％となっていることを踏まえ、各年度の売上高に当該数値を乗じて計算した。</w:t>
      </w:r>
    </w:p>
    <w:p w:rsidR="00142F55" w:rsidRPr="00142F55" w:rsidRDefault="00142F55" w:rsidP="00142F55">
      <w:pPr>
        <w:widowControl/>
        <w:ind w:leftChars="100" w:left="210" w:firstLineChars="100" w:firstLine="240"/>
        <w:jc w:val="left"/>
        <w:rPr>
          <w:rFonts w:asciiTheme="minorEastAsia" w:hAnsiTheme="minorEastAsia"/>
          <w:sz w:val="24"/>
          <w:szCs w:val="24"/>
        </w:rPr>
      </w:pPr>
    </w:p>
    <w:p w:rsidR="00142F55" w:rsidRPr="00142F55" w:rsidRDefault="00142F55" w:rsidP="00142F55">
      <w:pPr>
        <w:widowControl/>
        <w:ind w:firstLineChars="100" w:firstLine="240"/>
        <w:jc w:val="left"/>
        <w:rPr>
          <w:rFonts w:asciiTheme="minorEastAsia" w:hAnsiTheme="minorEastAsia"/>
          <w:sz w:val="24"/>
          <w:szCs w:val="24"/>
        </w:rPr>
      </w:pPr>
      <w:r w:rsidRPr="00142F55">
        <w:rPr>
          <w:rFonts w:asciiTheme="minorEastAsia" w:hAnsiTheme="minorEastAsia" w:hint="eastAsia"/>
          <w:sz w:val="24"/>
          <w:szCs w:val="24"/>
        </w:rPr>
        <w:t>② 販売費及び一般管理費</w:t>
      </w:r>
    </w:p>
    <w:p w:rsidR="00142F55" w:rsidRDefault="00142F55" w:rsidP="00142F55">
      <w:pPr>
        <w:widowControl/>
        <w:ind w:leftChars="100" w:left="210" w:firstLineChars="100" w:firstLine="240"/>
        <w:jc w:val="left"/>
        <w:rPr>
          <w:rFonts w:asciiTheme="minorEastAsia" w:hAnsiTheme="minorEastAsia"/>
          <w:sz w:val="24"/>
          <w:szCs w:val="24"/>
        </w:rPr>
      </w:pPr>
      <w:r w:rsidRPr="00142F55">
        <w:rPr>
          <w:rFonts w:asciiTheme="minorEastAsia" w:hAnsiTheme="minorEastAsia" w:hint="eastAsia"/>
          <w:sz w:val="24"/>
          <w:szCs w:val="24"/>
        </w:rPr>
        <w:t>令和４年度実績において、販売費及び一般管理費は売上高比 10％となっていることを踏まえ、各年度の売上高に当該数値を乗じて計算した。</w:t>
      </w:r>
    </w:p>
    <w:p w:rsidR="00142F55" w:rsidRPr="00142F55" w:rsidRDefault="00142F55" w:rsidP="00142F55">
      <w:pPr>
        <w:widowControl/>
        <w:ind w:leftChars="100" w:left="210" w:firstLineChars="100" w:firstLine="240"/>
        <w:jc w:val="left"/>
        <w:rPr>
          <w:rFonts w:asciiTheme="minorEastAsia" w:hAnsiTheme="minorEastAsia"/>
          <w:sz w:val="24"/>
          <w:szCs w:val="24"/>
        </w:rPr>
      </w:pPr>
    </w:p>
    <w:p w:rsidR="00142F55" w:rsidRPr="00142F55" w:rsidRDefault="00142F55" w:rsidP="00142F55">
      <w:pPr>
        <w:widowControl/>
        <w:ind w:firstLineChars="100" w:firstLine="240"/>
        <w:jc w:val="left"/>
        <w:rPr>
          <w:rFonts w:asciiTheme="minorEastAsia" w:hAnsiTheme="minorEastAsia"/>
          <w:sz w:val="24"/>
          <w:szCs w:val="24"/>
        </w:rPr>
      </w:pPr>
      <w:r w:rsidRPr="00142F55">
        <w:rPr>
          <w:rFonts w:asciiTheme="minorEastAsia" w:hAnsiTheme="minorEastAsia" w:hint="eastAsia"/>
          <w:sz w:val="24"/>
          <w:szCs w:val="24"/>
        </w:rPr>
        <w:t>③ 減価償却費</w:t>
      </w:r>
    </w:p>
    <w:p w:rsidR="00142F55" w:rsidRDefault="00142F55" w:rsidP="00142F55">
      <w:pPr>
        <w:widowControl/>
        <w:ind w:leftChars="100" w:left="210" w:firstLineChars="100" w:firstLine="240"/>
        <w:jc w:val="left"/>
        <w:rPr>
          <w:rFonts w:asciiTheme="minorEastAsia" w:hAnsiTheme="minorEastAsia"/>
          <w:sz w:val="24"/>
          <w:szCs w:val="24"/>
        </w:rPr>
      </w:pPr>
      <w:r w:rsidRPr="00142F55">
        <w:rPr>
          <w:rFonts w:asciiTheme="minorEastAsia" w:hAnsiTheme="minorEastAsia" w:hint="eastAsia"/>
          <w:sz w:val="24"/>
          <w:szCs w:val="24"/>
        </w:rPr>
        <w:t>本事業における「第五工場 建屋」（840,000 千円）については、30 年償却で計算し、減価償却費を 28,000 千円/年と見込んでいる。また、「新型プレス機Ｘ」（400,000 千円）、「新型プレス機Ｙ」（50,000 千円）については、10 年償却で計算し、減価償却費を 45,000 千円/年と見込んでいる。これらの合計値（73,000 千円）について、令和４年度実績における売上原価に係る減価償却費と販売費及び一般管理費に係る減価償却費の比率（120,000千円：7,000 千円）で按分し、令和６年度以降の売上原価に係る減価償却費を68,980 千円、販売費及び一般管理費に係る減価償却費を 4,020 千円とした。</w:t>
      </w:r>
    </w:p>
    <w:p w:rsidR="00142F55" w:rsidRPr="00142F55" w:rsidRDefault="00142F55" w:rsidP="00142F55">
      <w:pPr>
        <w:widowControl/>
        <w:ind w:leftChars="100" w:left="210" w:firstLineChars="100" w:firstLine="240"/>
        <w:jc w:val="left"/>
        <w:rPr>
          <w:rFonts w:asciiTheme="minorEastAsia" w:hAnsiTheme="minorEastAsia"/>
          <w:sz w:val="24"/>
          <w:szCs w:val="24"/>
        </w:rPr>
      </w:pPr>
    </w:p>
    <w:p w:rsidR="00142F55" w:rsidRPr="00142F55" w:rsidRDefault="00142F55" w:rsidP="00142F55">
      <w:pPr>
        <w:widowControl/>
        <w:jc w:val="left"/>
        <w:rPr>
          <w:rFonts w:asciiTheme="minorEastAsia" w:hAnsiTheme="minorEastAsia"/>
          <w:sz w:val="24"/>
          <w:szCs w:val="24"/>
        </w:rPr>
      </w:pPr>
      <w:r w:rsidRPr="00142F55">
        <w:rPr>
          <w:rFonts w:asciiTheme="minorEastAsia" w:hAnsiTheme="minorEastAsia" w:hint="eastAsia"/>
          <w:sz w:val="24"/>
          <w:szCs w:val="24"/>
        </w:rPr>
        <w:t>（３）給与総額</w:t>
      </w:r>
    </w:p>
    <w:p w:rsidR="00142F55" w:rsidRPr="00142F55" w:rsidRDefault="00142F55" w:rsidP="00142F55">
      <w:pPr>
        <w:widowControl/>
        <w:ind w:firstLineChars="100" w:firstLine="240"/>
        <w:jc w:val="left"/>
        <w:rPr>
          <w:rFonts w:asciiTheme="minorEastAsia" w:hAnsiTheme="minorEastAsia"/>
          <w:sz w:val="24"/>
          <w:szCs w:val="24"/>
        </w:rPr>
      </w:pPr>
      <w:r w:rsidRPr="00142F55">
        <w:rPr>
          <w:rFonts w:asciiTheme="minorEastAsia" w:hAnsiTheme="minorEastAsia" w:hint="eastAsia"/>
          <w:sz w:val="24"/>
          <w:szCs w:val="24"/>
        </w:rPr>
        <w:t>令和４年度実績において、給与総額÷労働者数の値（＝一人当たり給与額）が約 4,400 千円となっていることを踏まえ、各年度の労働者数に当該数値を乗じて計算した。</w:t>
      </w:r>
    </w:p>
    <w:p w:rsidR="00142F55" w:rsidRDefault="00142F55" w:rsidP="00142F55">
      <w:pPr>
        <w:widowControl/>
        <w:jc w:val="left"/>
        <w:rPr>
          <w:rFonts w:asciiTheme="minorEastAsia" w:hAnsiTheme="minorEastAsia"/>
          <w:sz w:val="24"/>
          <w:szCs w:val="24"/>
        </w:rPr>
      </w:pPr>
    </w:p>
    <w:p w:rsidR="00142F55" w:rsidRPr="00142F55" w:rsidRDefault="00142F55" w:rsidP="00142F55">
      <w:pPr>
        <w:widowControl/>
        <w:jc w:val="left"/>
        <w:rPr>
          <w:rFonts w:asciiTheme="minorEastAsia" w:hAnsiTheme="minorEastAsia"/>
          <w:sz w:val="24"/>
          <w:szCs w:val="24"/>
        </w:rPr>
      </w:pPr>
      <w:r w:rsidRPr="00142F55">
        <w:rPr>
          <w:rFonts w:asciiTheme="minorEastAsia" w:hAnsiTheme="minorEastAsia" w:hint="eastAsia"/>
          <w:sz w:val="24"/>
          <w:szCs w:val="24"/>
        </w:rPr>
        <w:t>（４）租税公課</w:t>
      </w:r>
    </w:p>
    <w:p w:rsidR="00142F55" w:rsidRPr="00142F55" w:rsidRDefault="00142F55" w:rsidP="00142F55">
      <w:pPr>
        <w:widowControl/>
        <w:ind w:firstLineChars="100" w:firstLine="240"/>
        <w:jc w:val="left"/>
        <w:rPr>
          <w:rFonts w:asciiTheme="minorEastAsia" w:hAnsiTheme="minorEastAsia"/>
          <w:sz w:val="24"/>
          <w:szCs w:val="24"/>
        </w:rPr>
      </w:pPr>
      <w:r w:rsidRPr="00142F55">
        <w:rPr>
          <w:rFonts w:asciiTheme="minorEastAsia" w:hAnsiTheme="minorEastAsia" w:hint="eastAsia"/>
          <w:sz w:val="24"/>
          <w:szCs w:val="24"/>
        </w:rPr>
        <w:t>令和４年度実績において、租税公課は費用総額（売上原価＋販売費及び一般管理費）の約５％となっていることを踏まえ、各年度の費用総額に５％を乗じて計算した。</w:t>
      </w:r>
    </w:p>
    <w:p w:rsidR="00142F55" w:rsidRDefault="00142F55" w:rsidP="00142F55">
      <w:pPr>
        <w:widowControl/>
        <w:jc w:val="left"/>
        <w:rPr>
          <w:rFonts w:asciiTheme="minorEastAsia" w:hAnsiTheme="minorEastAsia"/>
          <w:sz w:val="24"/>
          <w:szCs w:val="24"/>
        </w:rPr>
      </w:pPr>
    </w:p>
    <w:p w:rsidR="00142F55" w:rsidRPr="00142F55" w:rsidRDefault="00142F55" w:rsidP="00142F55">
      <w:pPr>
        <w:widowControl/>
        <w:jc w:val="left"/>
        <w:rPr>
          <w:rFonts w:asciiTheme="minorEastAsia" w:hAnsiTheme="minorEastAsia"/>
          <w:sz w:val="24"/>
          <w:szCs w:val="24"/>
        </w:rPr>
      </w:pPr>
      <w:r w:rsidRPr="00142F55">
        <w:rPr>
          <w:rFonts w:asciiTheme="minorEastAsia" w:hAnsiTheme="minorEastAsia" w:hint="eastAsia"/>
          <w:sz w:val="24"/>
          <w:szCs w:val="24"/>
        </w:rPr>
        <w:t>（５）労働者数</w:t>
      </w:r>
    </w:p>
    <w:p w:rsidR="00142F55" w:rsidRPr="00142F55" w:rsidRDefault="00142F55" w:rsidP="00142F55">
      <w:pPr>
        <w:widowControl/>
        <w:ind w:firstLineChars="100" w:firstLine="240"/>
        <w:jc w:val="left"/>
        <w:rPr>
          <w:rFonts w:asciiTheme="minorEastAsia" w:hAnsiTheme="minorEastAsia"/>
          <w:sz w:val="24"/>
          <w:szCs w:val="24"/>
        </w:rPr>
      </w:pPr>
      <w:r w:rsidRPr="00142F55">
        <w:rPr>
          <w:rFonts w:asciiTheme="minorEastAsia" w:hAnsiTheme="minorEastAsia" w:hint="eastAsia"/>
          <w:sz w:val="24"/>
          <w:szCs w:val="24"/>
        </w:rPr>
        <w:t>地域経済牽引事業に係る弊社第五工場においては、新たに８名の新規従業員を採用する見込み。なお、新型プレス機Ｘの導入により、作業プロセスの効率化・改善がなされるため、本事業については、既存事業の水準よりも少ない従業員規模での運営が可能となっている。</w:t>
      </w:r>
    </w:p>
    <w:p w:rsidR="00142F55" w:rsidRDefault="00142F55" w:rsidP="00142F55">
      <w:pPr>
        <w:widowControl/>
        <w:jc w:val="left"/>
        <w:rPr>
          <w:rFonts w:asciiTheme="minorEastAsia" w:hAnsiTheme="minorEastAsia"/>
          <w:sz w:val="24"/>
          <w:szCs w:val="24"/>
        </w:rPr>
      </w:pPr>
    </w:p>
    <w:p w:rsidR="00A323D2" w:rsidRPr="005C5442" w:rsidRDefault="00142F55" w:rsidP="00142F55">
      <w:pPr>
        <w:widowControl/>
        <w:jc w:val="right"/>
        <w:rPr>
          <w:rFonts w:asciiTheme="minorEastAsia" w:hAnsiTheme="minorEastAsia"/>
          <w:sz w:val="24"/>
          <w:szCs w:val="24"/>
        </w:rPr>
      </w:pPr>
      <w:r w:rsidRPr="00142F55">
        <w:rPr>
          <w:rFonts w:asciiTheme="minorEastAsia" w:hAnsiTheme="minorEastAsia" w:hint="eastAsia"/>
          <w:sz w:val="24"/>
          <w:szCs w:val="24"/>
        </w:rPr>
        <w:t>（以上）</w:t>
      </w:r>
    </w:p>
    <w:sectPr w:rsidR="00A323D2" w:rsidRPr="005C5442" w:rsidSect="00A323D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8A" w:rsidRDefault="0052198A" w:rsidP="003C0825">
      <w:r>
        <w:separator/>
      </w:r>
    </w:p>
  </w:endnote>
  <w:endnote w:type="continuationSeparator" w:id="0">
    <w:p w:rsidR="0052198A" w:rsidRDefault="0052198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3A" w:rsidRDefault="001228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3A" w:rsidRDefault="001228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3A" w:rsidRDefault="001228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8A" w:rsidRDefault="0052198A" w:rsidP="003C0825">
      <w:r>
        <w:separator/>
      </w:r>
    </w:p>
  </w:footnote>
  <w:footnote w:type="continuationSeparator" w:id="0">
    <w:p w:rsidR="0052198A" w:rsidRDefault="0052198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3A" w:rsidRDefault="001228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3A" w:rsidRDefault="001228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8A"/>
    <w:rsid w:val="000714D7"/>
    <w:rsid w:val="000800FA"/>
    <w:rsid w:val="000E4BEF"/>
    <w:rsid w:val="00110596"/>
    <w:rsid w:val="00117FBB"/>
    <w:rsid w:val="00120AD4"/>
    <w:rsid w:val="0012283A"/>
    <w:rsid w:val="0012704F"/>
    <w:rsid w:val="001270B0"/>
    <w:rsid w:val="00142F55"/>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2198A"/>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07F9"/>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2025-04-16T05:47:00Z</dcterms:created>
  <dcterms:modified xsi:type="dcterms:W3CDTF">2025-04-16T05:47:00Z</dcterms:modified>
</cp:coreProperties>
</file>