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D94134"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7"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2CDF6630">
                  <wp:simplePos x="0" y="0"/>
                  <wp:positionH relativeFrom="page">
                    <wp:posOffset>4745990</wp:posOffset>
                  </wp:positionH>
                  <wp:positionV relativeFrom="paragraph">
                    <wp:posOffset>92075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9"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E50108A" w:rsidR="00DB097C" w:rsidRPr="00121F6F" w:rsidRDefault="00DB097C" w:rsidP="00B471E9">
            <w:pPr>
              <w:jc w:val="left"/>
              <w:rPr>
                <w:b/>
                <w:sz w:val="16"/>
                <w:szCs w:val="16"/>
              </w:rPr>
            </w:pPr>
            <w:r w:rsidRPr="00DB097C">
              <w:rPr>
                <w:rFonts w:hint="eastAsia"/>
                <w:b/>
                <w:sz w:val="16"/>
                <w:szCs w:val="16"/>
              </w:rPr>
              <w:t>策定の手引き</w:t>
            </w:r>
            <w:hyperlink r:id="rId10" w:anchor="tebiki" w:history="1">
              <w:r w:rsidR="00121F6F" w:rsidRPr="003919D8">
                <w:rPr>
                  <w:rStyle w:val="af1"/>
                  <w:b/>
                  <w:sz w:val="16"/>
                  <w:szCs w:val="16"/>
                </w:rPr>
                <w:t>https://www.chusho.meti.go.jp/keiei/antei/bousai/keizokuryoku.html#tebiki</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3FA4A24B"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5621B8DA"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6BD5BC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976162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2AE8C155"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3EC62813" w:rsidR="00AF5EF1" w:rsidRDefault="00AF5EF1" w:rsidP="00E15E56"/>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27509AA9" w14:textId="77777777" w:rsidR="006A1CAB" w:rsidRPr="00447F98" w:rsidRDefault="006A1CAB" w:rsidP="00E62FF8">
            <w:pPr>
              <w:jc w:val="left"/>
              <w:rPr>
                <w:szCs w:val="21"/>
              </w:rPr>
            </w:pP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4A6939C9" w14:textId="77777777" w:rsidR="006A1CAB" w:rsidRPr="00447F98" w:rsidRDefault="006A1CAB" w:rsidP="00E62FF8">
            <w:pPr>
              <w:ind w:left="210" w:hangingChars="100" w:hanging="210"/>
              <w:jc w:val="left"/>
              <w:rPr>
                <w:szCs w:val="21"/>
              </w:rPr>
            </w:pPr>
          </w:p>
        </w:tc>
      </w:tr>
    </w:tbl>
    <w:p w14:paraId="5ED1F5CE" w14:textId="74F8C25A" w:rsidR="006A1CAB" w:rsidRDefault="006A1CAB" w:rsidP="00A35204">
      <w:pPr>
        <w:rPr>
          <w:color w:val="FF0000"/>
        </w:rPr>
      </w:pPr>
    </w:p>
    <w:p w14:paraId="7C0568E3" w14:textId="77777777" w:rsidR="00121F6F" w:rsidRDefault="00121F6F" w:rsidP="00A35204">
      <w:pPr>
        <w:rPr>
          <w:color w:val="FF0000"/>
        </w:rPr>
      </w:pPr>
    </w:p>
    <w:p w14:paraId="6D355E24" w14:textId="77777777" w:rsidR="00121F6F" w:rsidRDefault="00121F6F" w:rsidP="00A35204">
      <w:pPr>
        <w:rPr>
          <w:color w:val="FF0000"/>
        </w:rPr>
      </w:pPr>
    </w:p>
    <w:p w14:paraId="20EB9975" w14:textId="77777777" w:rsidR="00D94134" w:rsidRDefault="00D94134" w:rsidP="00A35204">
      <w:pPr>
        <w:rPr>
          <w:rFonts w:ascii="ＭＳ ゴシック" w:eastAsia="ＭＳ ゴシック" w:hAnsi="ＭＳ ゴシック"/>
          <w:b/>
        </w:rPr>
      </w:pPr>
    </w:p>
    <w:p w14:paraId="01D5BA47" w14:textId="553D04BD" w:rsidR="0049612D" w:rsidRPr="00712366" w:rsidRDefault="0049612D" w:rsidP="00A35204">
      <w:pPr>
        <w:rPr>
          <w:rFonts w:ascii="ＭＳ ゴシック" w:eastAsia="ＭＳ ゴシック" w:hAnsi="ＭＳ ゴシック"/>
          <w:b/>
        </w:rPr>
      </w:pPr>
      <w:bookmarkStart w:id="0" w:name="_GoBack"/>
      <w:bookmarkEnd w:id="0"/>
      <w:r w:rsidRPr="00712366">
        <w:rPr>
          <w:rFonts w:ascii="ＭＳ ゴシック" w:eastAsia="ＭＳ ゴシック" w:hAnsi="ＭＳ ゴシック" w:hint="eastAsia"/>
          <w:b/>
        </w:rPr>
        <w:lastRenderedPageBreak/>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687114C5" w14:textId="77777777" w:rsidR="0049612D" w:rsidRPr="00447F98" w:rsidRDefault="0049612D" w:rsidP="00E62FF8">
            <w:pPr>
              <w:ind w:left="210" w:hangingChars="100" w:hanging="210"/>
              <w:jc w:val="left"/>
              <w:rPr>
                <w:szCs w:val="21"/>
              </w:rPr>
            </w:pP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2CC1CE62" w14:textId="1C649C77" w:rsidR="0049612D" w:rsidRDefault="0049612D" w:rsidP="00C20E55">
            <w:pPr>
              <w:jc w:val="left"/>
              <w:rPr>
                <w:szCs w:val="21"/>
              </w:rPr>
            </w:pPr>
          </w:p>
          <w:p w14:paraId="75362B56" w14:textId="77777777" w:rsidR="0049612D" w:rsidRDefault="0049612D" w:rsidP="00C20E55">
            <w:pPr>
              <w:jc w:val="left"/>
              <w:rPr>
                <w:szCs w:val="21"/>
              </w:rPr>
            </w:pPr>
          </w:p>
          <w:p w14:paraId="17DB4A14" w14:textId="03F55122" w:rsidR="0049612D" w:rsidRPr="00C20E55" w:rsidRDefault="0049612D" w:rsidP="00C20E55">
            <w:pPr>
              <w:jc w:val="left"/>
              <w:rPr>
                <w:szCs w:val="21"/>
              </w:rPr>
            </w:pP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7FE32EB6" w14:textId="5339D7DD" w:rsidR="0049612D" w:rsidRPr="00447F98" w:rsidRDefault="0049612D">
            <w:pPr>
              <w:rPr>
                <w:szCs w:val="21"/>
              </w:rPr>
            </w:pPr>
          </w:p>
          <w:p w14:paraId="443F0D16" w14:textId="77777777" w:rsidR="0049612D" w:rsidRDefault="0049612D">
            <w:pPr>
              <w:rPr>
                <w:szCs w:val="21"/>
              </w:rPr>
            </w:pPr>
          </w:p>
          <w:p w14:paraId="5AC20C3A" w14:textId="6BBCC784" w:rsidR="0049612D" w:rsidRPr="0049612D" w:rsidRDefault="0049612D">
            <w:pPr>
              <w:rPr>
                <w:szCs w:val="21"/>
              </w:rPr>
            </w:pP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3741537D" w14:textId="77777777" w:rsidR="0049612D" w:rsidRDefault="0049612D" w:rsidP="00C20E55">
            <w:pPr>
              <w:jc w:val="left"/>
              <w:rPr>
                <w:szCs w:val="21"/>
              </w:rPr>
            </w:pPr>
          </w:p>
          <w:p w14:paraId="47F65010" w14:textId="77777777" w:rsidR="0049612D" w:rsidRDefault="0049612D" w:rsidP="00C20E55">
            <w:pPr>
              <w:jc w:val="left"/>
              <w:rPr>
                <w:szCs w:val="21"/>
              </w:rPr>
            </w:pPr>
          </w:p>
          <w:p w14:paraId="04708C13" w14:textId="10A29337" w:rsidR="0049612D" w:rsidRPr="00C20E55" w:rsidRDefault="0049612D" w:rsidP="00C20E55">
            <w:pPr>
              <w:jc w:val="left"/>
              <w:rPr>
                <w:szCs w:val="21"/>
              </w:rPr>
            </w:pP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2633C5B2" w14:textId="77777777" w:rsidR="0049612D" w:rsidRDefault="0049612D" w:rsidP="00C20E55">
            <w:pPr>
              <w:jc w:val="left"/>
              <w:rPr>
                <w:szCs w:val="21"/>
              </w:rPr>
            </w:pPr>
          </w:p>
          <w:p w14:paraId="5100E61E" w14:textId="77777777" w:rsidR="0049612D" w:rsidRDefault="0049612D" w:rsidP="00C20E55">
            <w:pPr>
              <w:jc w:val="left"/>
              <w:rPr>
                <w:szCs w:val="21"/>
              </w:rPr>
            </w:pPr>
          </w:p>
          <w:p w14:paraId="525C8F0B" w14:textId="7A8164B1" w:rsidR="0049612D" w:rsidRPr="00C20E55" w:rsidRDefault="0049612D" w:rsidP="00C20E55">
            <w:pPr>
              <w:jc w:val="left"/>
              <w:rPr>
                <w:szCs w:val="21"/>
              </w:rPr>
            </w:pP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2C9E4E93" w14:textId="77777777" w:rsidR="0049612D" w:rsidRDefault="0049612D" w:rsidP="00C20E55">
            <w:pPr>
              <w:jc w:val="left"/>
              <w:rPr>
                <w:szCs w:val="21"/>
              </w:rPr>
            </w:pPr>
          </w:p>
          <w:p w14:paraId="632CC6DA" w14:textId="77777777" w:rsidR="0049612D" w:rsidRDefault="0049612D" w:rsidP="00C20E55">
            <w:pPr>
              <w:jc w:val="left"/>
              <w:rPr>
                <w:szCs w:val="21"/>
              </w:rPr>
            </w:pPr>
          </w:p>
          <w:p w14:paraId="0DFA67D6" w14:textId="2A8C4B2D" w:rsidR="0049612D" w:rsidRPr="0049612D" w:rsidRDefault="0049612D" w:rsidP="00C20E55">
            <w:pPr>
              <w:jc w:val="left"/>
              <w:rPr>
                <w:szCs w:val="21"/>
              </w:rPr>
            </w:pP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4C44190F" w14:textId="77777777" w:rsidR="0049612D" w:rsidRDefault="0049612D" w:rsidP="00C20E55">
            <w:pPr>
              <w:jc w:val="left"/>
              <w:rPr>
                <w:szCs w:val="21"/>
              </w:rPr>
            </w:pPr>
          </w:p>
          <w:p w14:paraId="7B9048FD" w14:textId="34A8D6C5" w:rsidR="0049612D" w:rsidRPr="00C20E55" w:rsidRDefault="0049612D" w:rsidP="00C20E55">
            <w:pPr>
              <w:jc w:val="left"/>
              <w:rPr>
                <w:szCs w:val="21"/>
              </w:rPr>
            </w:pPr>
          </w:p>
        </w:tc>
      </w:tr>
    </w:tbl>
    <w:p w14:paraId="33C64CEC" w14:textId="512542B6" w:rsidR="00191F1E" w:rsidRDefault="00191F1E" w:rsidP="00202C36">
      <w:pPr>
        <w:widowControl/>
        <w:jc w:val="left"/>
      </w:pPr>
    </w:p>
    <w:p w14:paraId="1D7D1DEE" w14:textId="77777777" w:rsidR="000E4BAF" w:rsidRDefault="000E4BAF" w:rsidP="00202C36">
      <w:pPr>
        <w:widowControl/>
        <w:jc w:val="left"/>
      </w:pPr>
    </w:p>
    <w:p w14:paraId="1A4D940C" w14:textId="7DE0CA85" w:rsidR="00A75759"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58CCED29"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48B326CB" w14:textId="77777777" w:rsidR="008C3326" w:rsidRPr="00447F98" w:rsidRDefault="008C3326" w:rsidP="00E87519">
            <w:pPr>
              <w:rPr>
                <w:rFonts w:asciiTheme="minorEastAsia" w:eastAsiaTheme="minorEastAsia" w:hAnsiTheme="minorEastAsia"/>
                <w:szCs w:val="21"/>
              </w:rPr>
            </w:pP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108FF8A7"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E42E95E" w14:textId="77777777" w:rsidR="008C3326" w:rsidRPr="00447F98" w:rsidRDefault="008C3326" w:rsidP="00E87519">
            <w:pPr>
              <w:ind w:left="210" w:hangingChars="100" w:hanging="210"/>
              <w:rPr>
                <w:rFonts w:asciiTheme="minorEastAsia" w:eastAsiaTheme="minorEastAsia" w:hAnsiTheme="minorEastAsia"/>
                <w:szCs w:val="21"/>
              </w:rPr>
            </w:pP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Pr>
          <w:p w14:paraId="3986B255"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F742DAF" w14:textId="77777777" w:rsidR="008C3326" w:rsidRPr="00447F98" w:rsidRDefault="008C3326" w:rsidP="00E87519">
            <w:pPr>
              <w:rPr>
                <w:rFonts w:asciiTheme="minorEastAsia" w:eastAsiaTheme="minorEastAsia" w:hAnsiTheme="minorEastAsia"/>
                <w:szCs w:val="21"/>
              </w:rPr>
            </w:pPr>
          </w:p>
        </w:tc>
      </w:tr>
      <w:tr w:rsidR="00191F1E" w:rsidRPr="00447F98" w14:paraId="0D0E2EC0" w14:textId="77777777" w:rsidTr="001C3413">
        <w:trPr>
          <w:trHeight w:val="1130"/>
          <w:jc w:val="right"/>
        </w:trPr>
        <w:tc>
          <w:tcPr>
            <w:tcW w:w="418" w:type="dxa"/>
            <w:vMerge w:val="restart"/>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84" w:type="dxa"/>
            <w:vMerge w:val="restart"/>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48116EE5"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488EB77F"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6224DC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1D038EE5" w14:textId="77777777" w:rsidTr="00191F1E">
        <w:trPr>
          <w:trHeight w:val="864"/>
          <w:jc w:val="right"/>
        </w:trPr>
        <w:tc>
          <w:tcPr>
            <w:tcW w:w="418" w:type="dxa"/>
            <w:vMerge/>
            <w:shd w:val="clear" w:color="auto" w:fill="auto"/>
            <w:tcMar>
              <w:top w:w="15" w:type="dxa"/>
              <w:left w:w="15" w:type="dxa"/>
              <w:bottom w:w="0" w:type="dxa"/>
              <w:right w:w="15" w:type="dxa"/>
            </w:tcMar>
            <w:vAlign w:val="center"/>
          </w:tcPr>
          <w:p w14:paraId="7C9B1F99"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6181B47"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45DB65CF"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0CDD8913"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9E04D55"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6EC9E748" w14:textId="77777777" w:rsidTr="001C3413">
        <w:trPr>
          <w:trHeight w:val="1147"/>
          <w:jc w:val="right"/>
        </w:trPr>
        <w:tc>
          <w:tcPr>
            <w:tcW w:w="418" w:type="dxa"/>
            <w:vMerge w:val="restart"/>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vMerge w:val="restart"/>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1A5124BB" w14:textId="1941D130"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35FACC10"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173492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5E5A3E9C" w14:textId="77777777" w:rsidTr="00191F1E">
        <w:trPr>
          <w:trHeight w:val="914"/>
          <w:jc w:val="right"/>
        </w:trPr>
        <w:tc>
          <w:tcPr>
            <w:tcW w:w="418" w:type="dxa"/>
            <w:vMerge/>
            <w:shd w:val="clear" w:color="auto" w:fill="auto"/>
            <w:tcMar>
              <w:top w:w="15" w:type="dxa"/>
              <w:left w:w="15" w:type="dxa"/>
              <w:bottom w:w="0" w:type="dxa"/>
              <w:right w:w="15" w:type="dxa"/>
            </w:tcMar>
            <w:vAlign w:val="center"/>
          </w:tcPr>
          <w:p w14:paraId="74FB1D7A"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0A6D09F"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7A9E54FA"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272EE645"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4D44AAD3" w14:textId="77777777" w:rsidR="00191F1E" w:rsidRPr="00447F98" w:rsidRDefault="00191F1E" w:rsidP="00E87519">
            <w:pPr>
              <w:ind w:left="210" w:hangingChars="100" w:hanging="210"/>
              <w:rPr>
                <w:rFonts w:asciiTheme="minorEastAsia" w:eastAsiaTheme="minorEastAsia" w:hAnsiTheme="minorEastAsia"/>
                <w:szCs w:val="21"/>
              </w:rPr>
            </w:pP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65E09ED0"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5396CF9" w14:textId="77777777" w:rsidR="008C3326" w:rsidRPr="00447F98" w:rsidRDefault="008C3326" w:rsidP="00E87519">
            <w:pPr>
              <w:ind w:left="210" w:hangingChars="100" w:hanging="210"/>
              <w:rPr>
                <w:rFonts w:asciiTheme="minorEastAsia" w:eastAsiaTheme="minorEastAsia" w:hAnsiTheme="minorEastAsia"/>
                <w:szCs w:val="21"/>
              </w:rPr>
            </w:pP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162725DC" w:rsidR="008C3326" w:rsidRPr="00BA4162" w:rsidRDefault="009F5500" w:rsidP="003C5D68">
      <w:pPr>
        <w:rPr>
          <w:color w:val="FF0000"/>
        </w:rPr>
      </w:pPr>
      <w:r w:rsidRPr="009F5500">
        <w:rPr>
          <w:rFonts w:hint="eastAsia"/>
          <w:color w:val="FF0000"/>
        </w:rPr>
        <w:t xml:space="preserve">◆注意点　</w:t>
      </w:r>
      <w:r w:rsidRPr="009F5500">
        <w:rPr>
          <w:rFonts w:hint="eastAsia"/>
          <w:color w:val="FF0000"/>
        </w:rPr>
        <w:t>A</w:t>
      </w:r>
      <w:r w:rsidRPr="009F5500">
        <w:rPr>
          <w:rFonts w:hint="eastAsia"/>
          <w:color w:val="FF0000"/>
        </w:rPr>
        <w:t>～</w:t>
      </w:r>
      <w:r w:rsidRPr="009F5500">
        <w:rPr>
          <w:rFonts w:hint="eastAsia"/>
          <w:color w:val="FF0000"/>
        </w:rPr>
        <w:t>D</w:t>
      </w:r>
      <w:r w:rsidRPr="009F5500">
        <w:rPr>
          <w:rFonts w:hint="eastAsia"/>
          <w:color w:val="FF0000"/>
        </w:rPr>
        <w:t>のうち</w:t>
      </w:r>
      <w:r w:rsidRPr="009F5500">
        <w:rPr>
          <w:rFonts w:hint="eastAsia"/>
          <w:color w:val="FF0000"/>
        </w:rPr>
        <w:t>1</w:t>
      </w:r>
      <w:r w:rsidRPr="009F5500">
        <w:rPr>
          <w:rFonts w:hint="eastAsia"/>
          <w:color w:val="FF0000"/>
        </w:rPr>
        <w:t>つ以上の記載が必要です。「現在の取組」と「今後の取組」はセットで記載してください。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71B62A30" w:rsidR="003D3DB9" w:rsidRPr="00447F98" w:rsidRDefault="003D3DB9" w:rsidP="003D3DB9">
            <w:pPr>
              <w:ind w:left="210" w:hangingChars="100" w:hanging="210"/>
              <w:rPr>
                <w:szCs w:val="21"/>
              </w:rPr>
            </w:pPr>
          </w:p>
        </w:tc>
        <w:tc>
          <w:tcPr>
            <w:tcW w:w="4019" w:type="dxa"/>
          </w:tcPr>
          <w:p w14:paraId="090C5444" w14:textId="77777777" w:rsidR="003D3DB9" w:rsidRPr="00447F98" w:rsidRDefault="003D3DB9" w:rsidP="003D3DB9">
            <w:pPr>
              <w:ind w:left="210" w:hangingChars="100" w:hanging="210"/>
              <w:rPr>
                <w:szCs w:val="21"/>
              </w:rPr>
            </w:pP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660A4E95" w:rsidR="003D3DB9" w:rsidRPr="00447F98" w:rsidRDefault="003D3DB9" w:rsidP="003D3DB9">
            <w:pPr>
              <w:ind w:left="210" w:hangingChars="100" w:hanging="210"/>
              <w:rPr>
                <w:szCs w:val="21"/>
              </w:rPr>
            </w:pPr>
          </w:p>
        </w:tc>
        <w:tc>
          <w:tcPr>
            <w:tcW w:w="4019" w:type="dxa"/>
          </w:tcPr>
          <w:p w14:paraId="36A418C4" w14:textId="77777777" w:rsidR="003D3DB9" w:rsidRPr="00447F98" w:rsidRDefault="003D3DB9" w:rsidP="003D3DB9">
            <w:pPr>
              <w:ind w:left="210" w:hangingChars="100" w:hanging="210"/>
              <w:rPr>
                <w:szCs w:val="21"/>
              </w:rPr>
            </w:pP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lastRenderedPageBreak/>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B1B5ADB" w14:textId="4BE35463" w:rsidR="003D3DB9" w:rsidRPr="00447F98" w:rsidRDefault="003D3DB9" w:rsidP="003D3DB9">
            <w:pPr>
              <w:ind w:left="210" w:hangingChars="100" w:hanging="210"/>
              <w:rPr>
                <w:szCs w:val="21"/>
              </w:rPr>
            </w:pPr>
          </w:p>
        </w:tc>
        <w:tc>
          <w:tcPr>
            <w:tcW w:w="4019" w:type="dxa"/>
          </w:tcPr>
          <w:p w14:paraId="31DA4B23" w14:textId="77777777" w:rsidR="003D3DB9" w:rsidRPr="00447F98" w:rsidRDefault="003D3DB9" w:rsidP="003D3DB9">
            <w:pPr>
              <w:ind w:left="210" w:hangingChars="100" w:hanging="210"/>
              <w:rPr>
                <w:szCs w:val="21"/>
              </w:rPr>
            </w:pP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70A99169" w14:textId="527E2662" w:rsidR="003D3DB9" w:rsidRPr="00447F98" w:rsidRDefault="003D3DB9" w:rsidP="003D3DB9">
            <w:pPr>
              <w:ind w:left="210" w:hangingChars="100" w:hanging="210"/>
              <w:rPr>
                <w:szCs w:val="21"/>
              </w:rPr>
            </w:pPr>
          </w:p>
        </w:tc>
        <w:tc>
          <w:tcPr>
            <w:tcW w:w="4019" w:type="dxa"/>
          </w:tcPr>
          <w:p w14:paraId="5F59DEAD" w14:textId="77777777" w:rsidR="003D3DB9" w:rsidRPr="00447F98" w:rsidRDefault="003D3DB9" w:rsidP="003D3DB9">
            <w:pPr>
              <w:ind w:left="210" w:hangingChars="100" w:hanging="210"/>
              <w:rPr>
                <w:szCs w:val="21"/>
              </w:rPr>
            </w:pPr>
          </w:p>
        </w:tc>
      </w:tr>
    </w:tbl>
    <w:p w14:paraId="56179902" w14:textId="00B05B34" w:rsidR="00191F1E" w:rsidRDefault="00191F1E" w:rsidP="00191F1E"/>
    <w:p w14:paraId="08A77E16" w14:textId="77777777" w:rsidR="00191F1E" w:rsidRDefault="00191F1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5691BB73" w:rsidR="00904555" w:rsidRPr="00904555" w:rsidRDefault="00904555" w:rsidP="003C5D68">
      <w:pPr>
        <w:rPr>
          <w:color w:val="FF0000"/>
        </w:rPr>
      </w:pPr>
      <w:r w:rsidRPr="00904555">
        <w:rPr>
          <w:rFonts w:hint="eastAsia"/>
          <w:color w:val="FF0000"/>
        </w:rPr>
        <w:t xml:space="preserve">◆注意点　</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3E7AC1CE" w:rsidR="00366DF3" w:rsidRDefault="00366DF3" w:rsidP="00904555">
            <w:pPr>
              <w:rPr>
                <w:color w:val="FF0000"/>
              </w:rPr>
            </w:pPr>
            <w:r>
              <w:rPr>
                <w:rFonts w:hint="eastAsia"/>
                <w:color w:val="FF0000"/>
              </w:rPr>
              <w:t xml:space="preserve">　　　　</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366DF3" w:rsidRPr="00447F98" w14:paraId="2990C2D5" w14:textId="77777777" w:rsidTr="00942294">
        <w:trPr>
          <w:trHeight w:val="255"/>
        </w:trPr>
        <w:tc>
          <w:tcPr>
            <w:tcW w:w="1305" w:type="dxa"/>
            <w:tcBorders>
              <w:right w:val="dotted" w:sz="4" w:space="0" w:color="auto"/>
            </w:tcBorders>
          </w:tcPr>
          <w:p w14:paraId="4CC834E6" w14:textId="77777777" w:rsidR="00366DF3" w:rsidRPr="00447F98" w:rsidRDefault="00366DF3" w:rsidP="00BE23DD"/>
        </w:tc>
        <w:tc>
          <w:tcPr>
            <w:tcW w:w="3799" w:type="dxa"/>
          </w:tcPr>
          <w:p w14:paraId="37A236F8" w14:textId="77777777" w:rsidR="00366DF3" w:rsidRPr="00447F98" w:rsidRDefault="00366DF3" w:rsidP="00BE23DD"/>
        </w:tc>
        <w:tc>
          <w:tcPr>
            <w:tcW w:w="2296" w:type="dxa"/>
            <w:tcBorders>
              <w:right w:val="single" w:sz="4" w:space="0" w:color="auto"/>
            </w:tcBorders>
          </w:tcPr>
          <w:p w14:paraId="652392A5" w14:textId="77777777" w:rsidR="00366DF3" w:rsidRPr="00447F98" w:rsidRDefault="00366DF3" w:rsidP="00BE23DD"/>
        </w:tc>
        <w:tc>
          <w:tcPr>
            <w:tcW w:w="1560" w:type="dxa"/>
            <w:tcBorders>
              <w:left w:val="single" w:sz="4" w:space="0" w:color="auto"/>
            </w:tcBorders>
          </w:tcPr>
          <w:p w14:paraId="20BDB9E1" w14:textId="77777777" w:rsidR="00366DF3" w:rsidRPr="00447F98" w:rsidRDefault="00366DF3" w:rsidP="00BE23DD">
            <w:pPr>
              <w:jc w:val="right"/>
            </w:pPr>
          </w:p>
        </w:tc>
      </w:tr>
      <w:tr w:rsidR="00366DF3" w:rsidRPr="00447F98" w14:paraId="12D76AB4" w14:textId="77777777" w:rsidTr="00942294">
        <w:trPr>
          <w:trHeight w:val="64"/>
        </w:trPr>
        <w:tc>
          <w:tcPr>
            <w:tcW w:w="1305" w:type="dxa"/>
            <w:tcBorders>
              <w:bottom w:val="single" w:sz="4" w:space="0" w:color="auto"/>
              <w:right w:val="dotted" w:sz="4" w:space="0" w:color="auto"/>
            </w:tcBorders>
          </w:tcPr>
          <w:p w14:paraId="318F33E8" w14:textId="77777777" w:rsidR="00366DF3" w:rsidRPr="00447F98" w:rsidRDefault="00366DF3" w:rsidP="00BE23DD"/>
        </w:tc>
        <w:tc>
          <w:tcPr>
            <w:tcW w:w="3799" w:type="dxa"/>
            <w:tcBorders>
              <w:bottom w:val="single" w:sz="4" w:space="0" w:color="auto"/>
            </w:tcBorders>
          </w:tcPr>
          <w:p w14:paraId="5DC70C8B" w14:textId="77777777" w:rsidR="00366DF3" w:rsidRPr="00447F98" w:rsidRDefault="00366DF3" w:rsidP="00BE23DD"/>
        </w:tc>
        <w:tc>
          <w:tcPr>
            <w:tcW w:w="2296" w:type="dxa"/>
            <w:tcBorders>
              <w:bottom w:val="single" w:sz="4" w:space="0" w:color="auto"/>
              <w:right w:val="single" w:sz="4" w:space="0" w:color="auto"/>
            </w:tcBorders>
          </w:tcPr>
          <w:p w14:paraId="3839125A" w14:textId="77777777" w:rsidR="00366DF3" w:rsidRPr="00447F98" w:rsidRDefault="00366DF3" w:rsidP="00BE23DD"/>
        </w:tc>
        <w:tc>
          <w:tcPr>
            <w:tcW w:w="1560" w:type="dxa"/>
            <w:tcBorders>
              <w:left w:val="single" w:sz="4" w:space="0" w:color="auto"/>
              <w:bottom w:val="single" w:sz="4" w:space="0" w:color="auto"/>
            </w:tcBorders>
          </w:tcPr>
          <w:p w14:paraId="0081E915" w14:textId="77777777" w:rsidR="00366DF3" w:rsidRPr="00447F98" w:rsidRDefault="00366DF3" w:rsidP="00BE23DD">
            <w:pPr>
              <w:jc w:val="right"/>
            </w:pPr>
          </w:p>
        </w:tc>
      </w:tr>
    </w:tbl>
    <w:p w14:paraId="6D2524F9" w14:textId="7E357918" w:rsidR="00366DF3" w:rsidRPr="00447F98" w:rsidRDefault="00540E4C" w:rsidP="00366DF3">
      <w:pPr>
        <w:ind w:left="420" w:hangingChars="200" w:hanging="420"/>
        <w:rPr>
          <w:szCs w:val="21"/>
        </w:rPr>
      </w:pPr>
      <w:r w:rsidRPr="00540E4C">
        <w:rPr>
          <w:rFonts w:hint="eastAsia"/>
          <w:szCs w:val="21"/>
        </w:rPr>
        <w:lastRenderedPageBreak/>
        <w:t>※記入欄は追加できます</w:t>
      </w:r>
    </w:p>
    <w:p w14:paraId="204D2E00" w14:textId="63F1F6D2" w:rsidR="00D215DC" w:rsidRDefault="00D215DC"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4E10D867"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５：商工会（連合会）　６：全国中小企業団体中央会　７：保険会社（生命保険等）　８：自治体等行政（消防含む）　９：損害保険会社　１０：コンサル会社（中小企業診断士以外）　１１：グループ会社　　１２：組合含む同業他社　１３：取引先企業等　１４：その他社団、財団、企業等　１５：商工中金　　　１６：日本政策投資銀行　１７：中小企業診断士（協会）　１８：中小企業基</w:t>
            </w:r>
            <w:r w:rsidRPr="003B2D96">
              <w:rPr>
                <w:rFonts w:ascii="ＭＳ Ｐゴシック" w:eastAsia="ＭＳ Ｐゴシック" w:hAnsi="ＭＳ Ｐゴシック" w:hint="eastAsia"/>
                <w:b/>
              </w:rPr>
              <w:t>盤整備機構</w:t>
            </w:r>
            <w:r w:rsidR="003B2D96">
              <w:rPr>
                <w:rFonts w:ascii="ＭＳ Ｐゴシック" w:eastAsia="ＭＳ Ｐゴシック" w:hAnsi="ＭＳ Ｐゴシック" w:hint="eastAsia"/>
                <w:b/>
              </w:rPr>
              <w:t xml:space="preserve">　</w:t>
            </w:r>
            <w:r w:rsidR="003B2D96" w:rsidRPr="00121F6F">
              <w:rPr>
                <w:rFonts w:ascii="ＭＳ Ｐゴシック" w:eastAsia="ＭＳ Ｐゴシック" w:hAnsi="ＭＳ Ｐゴシック"/>
                <w:b/>
              </w:rPr>
              <w:t>１９：保険代理店（損害保険・生命保険）</w:t>
            </w:r>
          </w:p>
        </w:tc>
      </w:tr>
    </w:tbl>
    <w:p w14:paraId="7FF828D6" w14:textId="29DE853A" w:rsidR="00366DF3" w:rsidRPr="005857F8" w:rsidRDefault="00366DF3" w:rsidP="00366DF3"/>
    <w:tbl>
      <w:tblPr>
        <w:tblStyle w:val="a7"/>
        <w:tblW w:w="8926" w:type="dxa"/>
        <w:tblLook w:val="04A0" w:firstRow="1" w:lastRow="0" w:firstColumn="1" w:lastColumn="0" w:noHBand="0" w:noVBand="1"/>
      </w:tblPr>
      <w:tblGrid>
        <w:gridCol w:w="2751"/>
        <w:gridCol w:w="6175"/>
      </w:tblGrid>
      <w:tr w:rsidR="00447F98" w:rsidRPr="00447F98" w14:paraId="3CBD15FF" w14:textId="77777777" w:rsidTr="00942294">
        <w:trPr>
          <w:trHeight w:val="558"/>
        </w:trPr>
        <w:tc>
          <w:tcPr>
            <w:tcW w:w="2751" w:type="dxa"/>
            <w:shd w:val="clear" w:color="auto" w:fill="DBE5F1" w:themeFill="accent1" w:themeFillTint="33"/>
            <w:vAlign w:val="center"/>
          </w:tcPr>
          <w:p w14:paraId="0A4C0958" w14:textId="22268999" w:rsidR="00E40078" w:rsidRPr="00447F98" w:rsidRDefault="00E40078" w:rsidP="00A75759">
            <w:pPr>
              <w:jc w:val="center"/>
            </w:pPr>
            <w:r w:rsidRPr="00447F98">
              <w:rPr>
                <w:rFonts w:hint="eastAsia"/>
              </w:rPr>
              <w:t>名称</w:t>
            </w:r>
          </w:p>
        </w:tc>
        <w:tc>
          <w:tcPr>
            <w:tcW w:w="6175" w:type="dxa"/>
            <w:vAlign w:val="center"/>
          </w:tcPr>
          <w:p w14:paraId="220F36FC" w14:textId="485659CD" w:rsidR="00E40078" w:rsidRPr="00447F98" w:rsidRDefault="00E40078">
            <w:pPr>
              <w:rPr>
                <w:szCs w:val="21"/>
              </w:rPr>
            </w:pPr>
          </w:p>
        </w:tc>
      </w:tr>
      <w:tr w:rsidR="00366DF3" w:rsidRPr="00447F98" w14:paraId="56742C32" w14:textId="77777777" w:rsidTr="00942294">
        <w:trPr>
          <w:trHeight w:val="558"/>
        </w:trPr>
        <w:tc>
          <w:tcPr>
            <w:tcW w:w="2751" w:type="dxa"/>
            <w:shd w:val="clear" w:color="auto" w:fill="DBE5F1" w:themeFill="accent1" w:themeFillTint="33"/>
            <w:vAlign w:val="center"/>
          </w:tcPr>
          <w:p w14:paraId="795F2952" w14:textId="17223FA9" w:rsidR="00366DF3" w:rsidRPr="00447F98" w:rsidRDefault="00366DF3" w:rsidP="00A75759">
            <w:pPr>
              <w:jc w:val="center"/>
            </w:pPr>
            <w:r>
              <w:rPr>
                <w:rFonts w:hint="eastAsia"/>
              </w:rPr>
              <w:t>種別</w:t>
            </w:r>
          </w:p>
        </w:tc>
        <w:tc>
          <w:tcPr>
            <w:tcW w:w="6175" w:type="dxa"/>
            <w:vAlign w:val="center"/>
          </w:tcPr>
          <w:p w14:paraId="52C1234D" w14:textId="77777777" w:rsidR="00366DF3" w:rsidRPr="00447F98" w:rsidRDefault="00366DF3">
            <w:pPr>
              <w:rPr>
                <w:szCs w:val="21"/>
              </w:rPr>
            </w:pPr>
          </w:p>
        </w:tc>
      </w:tr>
      <w:tr w:rsidR="00447F98" w:rsidRPr="00447F98" w14:paraId="6481862D" w14:textId="77777777" w:rsidTr="00942294">
        <w:trPr>
          <w:trHeight w:val="558"/>
        </w:trPr>
        <w:tc>
          <w:tcPr>
            <w:tcW w:w="2751" w:type="dxa"/>
            <w:shd w:val="clear" w:color="auto" w:fill="DBE5F1" w:themeFill="accent1" w:themeFillTint="33"/>
            <w:vAlign w:val="center"/>
          </w:tcPr>
          <w:p w14:paraId="4148CB1B" w14:textId="16AFEB6F" w:rsidR="00E40078" w:rsidRPr="00447F98" w:rsidRDefault="00E40078" w:rsidP="00A75759">
            <w:pPr>
              <w:jc w:val="center"/>
            </w:pPr>
            <w:r w:rsidRPr="00447F98">
              <w:rPr>
                <w:rFonts w:hint="eastAsia"/>
              </w:rPr>
              <w:t>住所</w:t>
            </w:r>
          </w:p>
        </w:tc>
        <w:tc>
          <w:tcPr>
            <w:tcW w:w="6175" w:type="dxa"/>
            <w:vAlign w:val="center"/>
          </w:tcPr>
          <w:p w14:paraId="20A491FE" w14:textId="1788EF22" w:rsidR="00E40078" w:rsidRPr="00447F98" w:rsidRDefault="00E40078">
            <w:pPr>
              <w:rPr>
                <w:szCs w:val="21"/>
              </w:rPr>
            </w:pPr>
          </w:p>
        </w:tc>
      </w:tr>
      <w:tr w:rsidR="00447F98" w:rsidRPr="00447F98" w14:paraId="28F3D85B" w14:textId="77777777" w:rsidTr="00942294">
        <w:trPr>
          <w:trHeight w:val="558"/>
        </w:trPr>
        <w:tc>
          <w:tcPr>
            <w:tcW w:w="2751" w:type="dxa"/>
            <w:shd w:val="clear" w:color="auto" w:fill="DBE5F1" w:themeFill="accent1" w:themeFillTint="33"/>
            <w:vAlign w:val="center"/>
          </w:tcPr>
          <w:p w14:paraId="205E9329" w14:textId="75E7C090" w:rsidR="00E40078" w:rsidRPr="00447F98" w:rsidRDefault="00E40078" w:rsidP="00A75759">
            <w:pPr>
              <w:jc w:val="center"/>
            </w:pPr>
            <w:r w:rsidRPr="00447F98">
              <w:rPr>
                <w:rFonts w:hint="eastAsia"/>
              </w:rPr>
              <w:t>代表者の氏名</w:t>
            </w:r>
          </w:p>
        </w:tc>
        <w:tc>
          <w:tcPr>
            <w:tcW w:w="6175" w:type="dxa"/>
            <w:vAlign w:val="center"/>
          </w:tcPr>
          <w:p w14:paraId="67404DC1" w14:textId="2F42923C" w:rsidR="00E40078" w:rsidRPr="00447F98" w:rsidRDefault="00E40078">
            <w:pPr>
              <w:rPr>
                <w:szCs w:val="21"/>
              </w:rPr>
            </w:pPr>
          </w:p>
        </w:tc>
      </w:tr>
      <w:tr w:rsidR="00A75759" w:rsidRPr="00447F98" w14:paraId="64D81298" w14:textId="77777777" w:rsidTr="00942294">
        <w:trPr>
          <w:trHeight w:val="580"/>
        </w:trPr>
        <w:tc>
          <w:tcPr>
            <w:tcW w:w="2751" w:type="dxa"/>
            <w:shd w:val="clear" w:color="auto" w:fill="DBE5F1" w:themeFill="accent1" w:themeFillTint="33"/>
            <w:vAlign w:val="center"/>
          </w:tcPr>
          <w:p w14:paraId="21D7C2B0" w14:textId="53854536" w:rsidR="00A75759" w:rsidRPr="00447F98" w:rsidRDefault="00A75759" w:rsidP="00A75759">
            <w:pPr>
              <w:jc w:val="center"/>
            </w:pPr>
            <w:r w:rsidRPr="00447F98">
              <w:rPr>
                <w:rFonts w:hint="eastAsia"/>
              </w:rPr>
              <w:t>協力の内容</w:t>
            </w:r>
          </w:p>
        </w:tc>
        <w:tc>
          <w:tcPr>
            <w:tcW w:w="6175" w:type="dxa"/>
            <w:vAlign w:val="center"/>
          </w:tcPr>
          <w:p w14:paraId="6D54AF5A" w14:textId="501D4776" w:rsidR="00A75759" w:rsidRPr="00447F98" w:rsidRDefault="00A75759" w:rsidP="00700F36">
            <w:pPr>
              <w:rPr>
                <w:szCs w:val="21"/>
              </w:rPr>
            </w:pPr>
          </w:p>
        </w:tc>
      </w:tr>
    </w:tbl>
    <w:p w14:paraId="13BE39DB" w14:textId="7B439E4A" w:rsidR="00366DF3" w:rsidRDefault="005857F8" w:rsidP="00DF3CBF">
      <w:r>
        <w:rPr>
          <w:rFonts w:ascii="ＭＳ 明朝" w:hAnsi="ＭＳ 明朝" w:cs="ＭＳ 明朝" w:hint="eastAsia"/>
        </w:rPr>
        <w:t>※記入欄は追加できます</w:t>
      </w:r>
    </w:p>
    <w:p w14:paraId="33358369" w14:textId="43DBF7D6" w:rsidR="00366DF3" w:rsidRDefault="00366DF3" w:rsidP="00DF3CBF"/>
    <w:p w14:paraId="68BFB411" w14:textId="77777777" w:rsidR="00712366" w:rsidRDefault="00712366"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32ADD1AB" w14:textId="77777777" w:rsidR="00C20E55" w:rsidRPr="00447F98" w:rsidRDefault="00C20E55" w:rsidP="00DF3CBF">
            <w:pPr>
              <w:rPr>
                <w:szCs w:val="21"/>
              </w:rPr>
            </w:pPr>
          </w:p>
        </w:tc>
        <w:tc>
          <w:tcPr>
            <w:tcW w:w="2945" w:type="dxa"/>
          </w:tcPr>
          <w:p w14:paraId="35278D08" w14:textId="7D2940F4" w:rsidR="00C20E55" w:rsidRPr="00447F98" w:rsidRDefault="00C20E55" w:rsidP="00DF3CBF">
            <w:pPr>
              <w:rPr>
                <w:szCs w:val="21"/>
              </w:rPr>
            </w:pPr>
          </w:p>
        </w:tc>
        <w:tc>
          <w:tcPr>
            <w:tcW w:w="2945" w:type="dxa"/>
          </w:tcPr>
          <w:p w14:paraId="2B2C1D7A" w14:textId="0822ABDA" w:rsidR="00C20E55" w:rsidRPr="00447F98" w:rsidRDefault="00C20E55" w:rsidP="00DF3CBF">
            <w:pPr>
              <w:rPr>
                <w:szCs w:val="21"/>
              </w:rPr>
            </w:pPr>
          </w:p>
        </w:tc>
      </w:tr>
    </w:tbl>
    <w:p w14:paraId="33C0E01C" w14:textId="43B7F3A4" w:rsidR="008C3326" w:rsidRDefault="008C3326" w:rsidP="00E15E56"/>
    <w:p w14:paraId="6AB1BD3C" w14:textId="77777777" w:rsidR="008C3326" w:rsidRPr="00447F98" w:rsidRDefault="008C3326"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lastRenderedPageBreak/>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7B704897" w:rsidR="005D685A" w:rsidRDefault="005D685A" w:rsidP="005857F8">
            <w:pPr>
              <w:jc w:val="left"/>
            </w:pPr>
            <w:r>
              <w:rPr>
                <w:rFonts w:hint="eastAsia"/>
              </w:rPr>
              <w:t xml:space="preserve">西暦　　</w:t>
            </w:r>
            <w:r w:rsidRPr="00447F98">
              <w:rPr>
                <w:rFonts w:hint="eastAsia"/>
              </w:rPr>
              <w:t xml:space="preserve">年　</w:t>
            </w:r>
            <w:r w:rsidRPr="00447F98">
              <w:rPr>
                <w:rFonts w:hint="eastAsia"/>
              </w:rPr>
              <w:t xml:space="preserve"> </w:t>
            </w:r>
            <w:r w:rsidRPr="00447F98">
              <w:rPr>
                <w:rFonts w:hint="eastAsia"/>
              </w:rPr>
              <w:t xml:space="preserve">月～　</w:t>
            </w:r>
            <w:r w:rsidRPr="00447F98">
              <w:rPr>
                <w:rFonts w:hint="eastAsia"/>
              </w:rPr>
              <w:t xml:space="preserve">    </w:t>
            </w:r>
            <w:r w:rsidRPr="00447F98">
              <w:rPr>
                <w:rFonts w:hint="eastAsia"/>
              </w:rPr>
              <w:t xml:space="preserve">年　</w:t>
            </w:r>
            <w:r w:rsidRPr="00447F98">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77777777" w:rsidR="008C3326" w:rsidRDefault="008C3326" w:rsidP="00434E60">
            <w:pPr>
              <w:snapToGrid w:val="0"/>
              <w:spacing w:line="179" w:lineRule="atLeast"/>
              <w:jc w:val="center"/>
              <w:rPr>
                <w:rFonts w:ascii="ＭＳ 明朝" w:hAnsi="ＭＳ 明朝"/>
                <w:szCs w:val="21"/>
              </w:rPr>
            </w:pP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34DFBF5E" w:rsidR="00540E4C" w:rsidRDefault="00540E4C">
      <w:pPr>
        <w:ind w:left="420" w:hangingChars="200" w:hanging="420"/>
        <w:rPr>
          <w:rFonts w:ascii="ＭＳ 明朝" w:hAnsi="ＭＳ 明朝"/>
          <w:szCs w:val="21"/>
        </w:rPr>
      </w:pPr>
    </w:p>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1"/>
      <w:footerReference w:type="default" r:id="rId12"/>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4B66" w14:textId="77777777" w:rsidR="0079722C" w:rsidRDefault="0079722C" w:rsidP="003C0825">
      <w:r>
        <w:separator/>
      </w:r>
    </w:p>
  </w:endnote>
  <w:endnote w:type="continuationSeparator" w:id="0">
    <w:p w14:paraId="364B314F" w14:textId="77777777" w:rsidR="0079722C" w:rsidRDefault="0079722C" w:rsidP="003C0825">
      <w:r>
        <w:continuationSeparator/>
      </w:r>
    </w:p>
  </w:endnote>
  <w:endnote w:type="continuationNotice" w:id="1">
    <w:p w14:paraId="4C81D611" w14:textId="77777777" w:rsidR="0079722C" w:rsidRDefault="0079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305985"/>
      <w:docPartObj>
        <w:docPartGallery w:val="Page Numbers (Bottom of Page)"/>
        <w:docPartUnique/>
      </w:docPartObj>
    </w:sdtPr>
    <w:sdtEndPr/>
    <w:sdtContent>
      <w:sdt>
        <w:sdtPr>
          <w:id w:val="1728636285"/>
          <w:docPartObj>
            <w:docPartGallery w:val="Page Numbers (Top of Page)"/>
            <w:docPartUnique/>
          </w:docPartObj>
        </w:sdtPr>
        <w:sdtEndPr/>
        <w:sdtContent>
          <w:p w14:paraId="075EC041" w14:textId="2E8320A5"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413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4134">
              <w:rPr>
                <w:b/>
                <w:bCs/>
                <w:noProof/>
              </w:rPr>
              <w:t>6</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5393B" w14:textId="77777777" w:rsidR="0079722C" w:rsidRDefault="0079722C" w:rsidP="003C0825">
      <w:r>
        <w:separator/>
      </w:r>
    </w:p>
  </w:footnote>
  <w:footnote w:type="continuationSeparator" w:id="0">
    <w:p w14:paraId="51B8092F" w14:textId="77777777" w:rsidR="0079722C" w:rsidRDefault="0079722C" w:rsidP="003C0825">
      <w:r>
        <w:continuationSeparator/>
      </w:r>
    </w:p>
  </w:footnote>
  <w:footnote w:type="continuationNotice" w:id="1">
    <w:p w14:paraId="26F52A32" w14:textId="77777777" w:rsidR="0079722C" w:rsidRDefault="007972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1F6F"/>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C3413"/>
    <w:rsid w:val="001C3485"/>
    <w:rsid w:val="001C498F"/>
    <w:rsid w:val="001E0330"/>
    <w:rsid w:val="001E0457"/>
    <w:rsid w:val="001E04E8"/>
    <w:rsid w:val="001E2682"/>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B2D96"/>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4E60"/>
    <w:rsid w:val="00436188"/>
    <w:rsid w:val="004417E3"/>
    <w:rsid w:val="00447F98"/>
    <w:rsid w:val="0045110A"/>
    <w:rsid w:val="00451F08"/>
    <w:rsid w:val="00455646"/>
    <w:rsid w:val="0045618E"/>
    <w:rsid w:val="00456713"/>
    <w:rsid w:val="00462462"/>
    <w:rsid w:val="00472B26"/>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65E2"/>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4254"/>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3315"/>
    <w:rsid w:val="00904555"/>
    <w:rsid w:val="0090777C"/>
    <w:rsid w:val="009122D7"/>
    <w:rsid w:val="009151C0"/>
    <w:rsid w:val="00921A7D"/>
    <w:rsid w:val="0092649C"/>
    <w:rsid w:val="009342D0"/>
    <w:rsid w:val="009400E3"/>
    <w:rsid w:val="00942294"/>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A307E"/>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74E37"/>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94134"/>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0">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character" w:customStyle="1" w:styleId="UnresolvedMention">
    <w:name w:val="Unresolved Mention"/>
    <w:basedOn w:val="a0"/>
    <w:uiPriority w:val="99"/>
    <w:semiHidden/>
    <w:unhideWhenUsed/>
    <w:rsid w:val="0012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usho.meti.go.jp/keiei/antei/bousai/keizokuryoku.html" TargetMode="External"/><Relationship Id="rId4" Type="http://schemas.openxmlformats.org/officeDocument/2006/relationships/webSettings" Target="webSettings.xml"/><Relationship Id="rId9" Type="http://schemas.openxmlformats.org/officeDocument/2006/relationships/hyperlink" Target="https://www.keizokuryoku.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2024-04-15T01:31:00Z</dcterms:created>
  <dcterms:modified xsi:type="dcterms:W3CDTF">2024-04-15T01:31:00Z</dcterms:modified>
</cp:coreProperties>
</file>